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4629FC">
      <w:pPr>
        <w:spacing w:before="120" w:beforeLines="50" w:after="120" w:afterLines="50" w:line="540" w:lineRule="exact"/>
        <w:ind w:left="2494" w:hanging="2494" w:hangingChars="690"/>
        <w:jc w:val="center"/>
        <w:rPr>
          <w:rFonts w:asciiTheme="majorEastAsia" w:hAnsiTheme="majorEastAsia" w:eastAsiaTheme="majorEastAsia"/>
          <w:b/>
          <w:kern w:val="2"/>
          <w:sz w:val="36"/>
          <w:szCs w:val="36"/>
        </w:rPr>
      </w:pPr>
      <w:r>
        <w:rPr>
          <w:rFonts w:hint="eastAsia" w:asciiTheme="majorEastAsia" w:hAnsiTheme="majorEastAsia" w:eastAsiaTheme="majorEastAsia"/>
          <w:b/>
          <w:kern w:val="2"/>
          <w:sz w:val="36"/>
          <w:szCs w:val="36"/>
        </w:rPr>
        <w:t>环境科学与工程一级学科硕士学位授权点年度质量</w:t>
      </w:r>
    </w:p>
    <w:p w14:paraId="22953254">
      <w:pPr>
        <w:spacing w:before="120" w:beforeLines="50" w:after="120" w:afterLines="50" w:line="540" w:lineRule="exact"/>
        <w:ind w:left="2494" w:hanging="2494" w:hangingChars="690"/>
        <w:jc w:val="center"/>
        <w:rPr>
          <w:rFonts w:asciiTheme="majorEastAsia" w:hAnsiTheme="majorEastAsia" w:eastAsiaTheme="majorEastAsia"/>
          <w:b/>
          <w:kern w:val="2"/>
          <w:sz w:val="36"/>
          <w:szCs w:val="36"/>
        </w:rPr>
      </w:pPr>
      <w:r>
        <w:rPr>
          <w:rFonts w:hint="eastAsia" w:asciiTheme="majorEastAsia" w:hAnsiTheme="majorEastAsia" w:eastAsiaTheme="majorEastAsia"/>
          <w:b/>
          <w:kern w:val="2"/>
          <w:sz w:val="36"/>
          <w:szCs w:val="36"/>
        </w:rPr>
        <w:t>建设报告(2020年)</w:t>
      </w:r>
    </w:p>
    <w:p w14:paraId="5C66B57E">
      <w:pPr>
        <w:spacing w:before="120" w:beforeLines="50" w:after="120" w:afterLines="50" w:line="560" w:lineRule="exact"/>
        <w:ind w:firstLine="643" w:firstLineChars="200"/>
        <w:jc w:val="left"/>
        <w:rPr>
          <w:rFonts w:ascii="仿宋" w:hAnsi="仿宋" w:eastAsia="仿宋"/>
          <w:b/>
          <w:sz w:val="32"/>
          <w:szCs w:val="32"/>
        </w:rPr>
      </w:pPr>
      <w:r>
        <w:rPr>
          <w:rFonts w:ascii="仿宋" w:hAnsi="仿宋" w:eastAsia="仿宋"/>
          <w:b/>
          <w:sz w:val="32"/>
          <w:szCs w:val="32"/>
        </w:rPr>
        <w:t>学位授权点</w:t>
      </w:r>
      <w:r>
        <w:rPr>
          <w:rFonts w:hint="eastAsia" w:ascii="仿宋" w:hAnsi="仿宋" w:eastAsia="仿宋"/>
          <w:b/>
          <w:sz w:val="32"/>
          <w:szCs w:val="32"/>
        </w:rPr>
        <w:t>基本情况</w:t>
      </w:r>
    </w:p>
    <w:p w14:paraId="5236A7D8">
      <w:pPr>
        <w:pStyle w:val="14"/>
        <w:spacing w:line="560" w:lineRule="exact"/>
        <w:ind w:firstLine="640" w:firstLineChars="200"/>
        <w:rPr>
          <w:rFonts w:ascii="仿宋" w:hAnsi="仿宋" w:eastAsia="仿宋" w:cs="仿宋"/>
          <w:sz w:val="32"/>
          <w:szCs w:val="32"/>
        </w:rPr>
      </w:pPr>
      <w:r>
        <w:rPr>
          <w:rFonts w:ascii="仿宋" w:hAnsi="仿宋" w:eastAsia="仿宋" w:cs="仿宋"/>
          <w:sz w:val="32"/>
          <w:szCs w:val="32"/>
        </w:rPr>
        <w:t>河北大学化学与环境科学学院前身是</w:t>
      </w:r>
      <w:r>
        <w:rPr>
          <w:rFonts w:hint="eastAsia" w:ascii="仿宋" w:hAnsi="仿宋" w:eastAsia="仿宋" w:cs="仿宋"/>
          <w:sz w:val="32"/>
          <w:szCs w:val="32"/>
        </w:rPr>
        <w:t>1951年创办于天津的国立津沽大学师范学院化学系，1960年定名为河北大学化学系，2000年整合原有化学系和学校理化中心资源的基础上，更名为化学与环境科学学院。目前该学院设有化学专业、材料化学专业、高分子材料与工程专业、环境科学专业和环境工程专业五个本科专业。拥有1个化学一级学科博士后科研流动站，1个化学一级学科博士学位授权点，4个一级学科硕士点；1个二级学科硕士点；2个专业学位授权硕士点。截止2020年9月，学院在校本科生1260人，硕士研究生503人，博士研究生68人。学院现有教职工169人，其中教学科研人员134人，博士生导师32人，教授57人，副教授70人，具有博士学位（后）130人。专任教师按研究方向分为：有机化学（24人）、无机化学（23人）、分析化学（20人）、物理化学（21）、高分子科学与工程（18人）、环境科学与工程（17人）。</w:t>
      </w:r>
    </w:p>
    <w:p w14:paraId="1A9770CE">
      <w:pPr>
        <w:spacing w:before="120" w:beforeLines="50" w:after="120" w:afterLines="50" w:line="560" w:lineRule="exact"/>
        <w:ind w:firstLine="643" w:firstLineChars="200"/>
        <w:jc w:val="left"/>
        <w:rPr>
          <w:rFonts w:ascii="仿宋" w:hAnsi="仿宋" w:eastAsia="仿宋"/>
          <w:b/>
          <w:sz w:val="32"/>
          <w:szCs w:val="32"/>
        </w:rPr>
      </w:pPr>
      <w:r>
        <w:rPr>
          <w:rFonts w:hint="eastAsia" w:ascii="仿宋" w:hAnsi="仿宋" w:eastAsia="仿宋"/>
          <w:b/>
          <w:color w:val="000000"/>
          <w:sz w:val="32"/>
          <w:szCs w:val="32"/>
        </w:rPr>
        <w:t>一、目标与标准</w:t>
      </w:r>
    </w:p>
    <w:p w14:paraId="39DC0EFC">
      <w:pPr>
        <w:spacing w:line="52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1.1 培养目标</w:t>
      </w:r>
    </w:p>
    <w:p w14:paraId="7BBCF58A">
      <w:pPr>
        <w:spacing w:line="560" w:lineRule="exact"/>
        <w:ind w:firstLine="640" w:firstLineChars="200"/>
        <w:rPr>
          <w:rFonts w:ascii="仿宋" w:hAnsi="仿宋" w:eastAsia="仿宋" w:cs="仿宋"/>
          <w:sz w:val="32"/>
          <w:szCs w:val="32"/>
        </w:rPr>
      </w:pPr>
      <w:r>
        <w:rPr>
          <w:rFonts w:hint="eastAsia" w:ascii="仿宋" w:hAnsi="仿宋" w:eastAsia="仿宋"/>
          <w:color w:val="000000"/>
          <w:sz w:val="32"/>
          <w:szCs w:val="32"/>
        </w:rPr>
        <w:t>在国家人才培养目标的指导下，可以制定符合学校定位和发展方向，具有特色或区域性特点的人才培养目标。</w:t>
      </w:r>
      <w:r>
        <w:rPr>
          <w:rFonts w:hint="eastAsia" w:ascii="仿宋" w:hAnsi="仿宋" w:eastAsia="仿宋" w:cs="仿宋"/>
          <w:sz w:val="32"/>
          <w:szCs w:val="32"/>
        </w:rPr>
        <w:t>充分发挥河北大学学科优势，创建教师跨学科合作和学生培养新模式和交叉协作新文化。学院将在现有工作人员的基础上，公开招聘环境与生态领域学术能力、专业素质强、综合能力突出的优秀教师及高层次人才，纳入学校教师队伍，预计2021年专任教师总数可达到50人左右；并且通过“五年培养、三年提升”5-8年的教师发展培养体系，培养一批科研教学相融合的骨干教师，为学院的长期稳定发展提供充盈优质师资。</w:t>
      </w:r>
    </w:p>
    <w:p w14:paraId="748D86DC">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首先，作为环境科学与工程专业的一名学生，最基本的就是要掌握该领域的最基础的知识和最新的发展动向，这样才能对研究方向有基本的框架与规划，推陈出新，在基本的专业理论知识的基础上，结合现在的发展方向能够在自己研究的领域中提出自己的认识和见解，培养自身的创新能力，这就要求学生自身的基本功扎实，能够较为熟练的掌握英文文献的阅读与学习，从而为自身学习外文资料铺平道路。</w:t>
      </w:r>
    </w:p>
    <w:p w14:paraId="44D734B1">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进而培养研究生在学习期间逐渐掌握关于环境科学与工程学科的某一具体领域的相关专业知识，包括该方向的实验设计方案、实验数据处理方法以及原理的联系；并且在这一过程中应注重培养同学与老师之间的团队合作的能力与工作效率的提升，真正的在过程中提出问题，寻求正确的方法来解决问题，以此来提高学生的探究知识的能力，提升计算机、地理信息系统的应用能力，培养与他人沟通合作完成任务的社会技能，并且通过实际操作提升实际的工作能力；所有的工作都需要以健康的身体素质作为保障，因此要注重学生在各项工作正常进行的过程中健康体魄的保证；总而言之为环境保护、环境生态评价提供科技支撑和合格人才，面向政府环保部门及企事业单位，培养基础扎实、素质全面、工程实践能力强，并具有一定创新能力的应用型、复合型高层次的工程技术人才和工程管理人才。</w:t>
      </w:r>
    </w:p>
    <w:p w14:paraId="1E27B5C1">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预计设立环境科学、环境工程，环境生态工程、环境生物学、资源与环境及环境规划与管理作为国家亟需、面向未来的学科方向，从2021年开始本科生和研究生的招生工作。在未来5至10年内，学院将努力建设成为独具特色的高层次环境科学与工程人才培养基地，成为学校双一流学科建设和</w:t>
      </w:r>
      <w:r>
        <w:rPr>
          <w:rFonts w:hint="eastAsia" w:ascii="仿宋" w:hAnsi="仿宋" w:eastAsia="仿宋" w:cs="方正仿宋_GBK"/>
          <w:bCs/>
          <w:sz w:val="32"/>
          <w:szCs w:val="32"/>
        </w:rPr>
        <w:t>白洋淀（雄安新区）生态环境治理</w:t>
      </w:r>
      <w:r>
        <w:rPr>
          <w:rFonts w:hint="eastAsia" w:ascii="仿宋" w:hAnsi="仿宋" w:eastAsia="仿宋" w:cs="仿宋"/>
          <w:sz w:val="32"/>
          <w:szCs w:val="32"/>
        </w:rPr>
        <w:t>的重要支撑。根据环境科学与工程学科实际，加大 “生产实习”环节在本科生和研究生培养模式中的比例，即“产教联合”培养模式。本科生在校修完一定数量的专业课程后，到相关环保部门进行有针对性的联合培养，将专业知识与生产实际进行融合，获取河北大学本科学历证书和学士学位；研究生在校进行为期一年的科研训练，之后到学院的野外试验基地、观测基地开展实地科研工作，将毕业论文写在祖国大地上。研究生的毕业采用“考核工总量”的方式，不将论文的发表与否作为研究生毕业的标准。</w:t>
      </w:r>
    </w:p>
    <w:p w14:paraId="4EE8CB3D">
      <w:pPr>
        <w:spacing w:line="52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1.2学位标准</w:t>
      </w:r>
    </w:p>
    <w:p w14:paraId="7909E935">
      <w:pPr>
        <w:widowControl/>
        <w:spacing w:line="520" w:lineRule="exact"/>
        <w:ind w:firstLine="640" w:firstLineChars="200"/>
        <w:jc w:val="left"/>
        <w:rPr>
          <w:rFonts w:ascii="仿宋" w:hAnsi="仿宋" w:eastAsia="仿宋"/>
          <w:sz w:val="32"/>
          <w:szCs w:val="32"/>
        </w:rPr>
      </w:pPr>
      <w:r>
        <w:rPr>
          <w:rFonts w:hint="eastAsia" w:ascii="仿宋" w:hAnsi="仿宋" w:eastAsia="仿宋"/>
          <w:sz w:val="32"/>
          <w:szCs w:val="32"/>
        </w:rPr>
        <w:t>对硕士阶段的学习和工作进行归纳和总结撰写成的硕士学位论文是在申请和授予硕士学位的基本判断依据。因此在整个硕士培养阶段的实际工作能力和研究水平都可以在学生提交的硕士学位论文中表现出来。因此也要求硕士学位论文应严格符合规定的要求。</w:t>
      </w:r>
    </w:p>
    <w:p w14:paraId="5AF8EAB6">
      <w:pPr>
        <w:widowControl/>
        <w:spacing w:line="520" w:lineRule="exact"/>
        <w:ind w:firstLine="640" w:firstLineChars="200"/>
        <w:jc w:val="left"/>
        <w:rPr>
          <w:rFonts w:ascii="仿宋" w:hAnsi="仿宋" w:eastAsia="仿宋"/>
          <w:sz w:val="32"/>
          <w:szCs w:val="32"/>
        </w:rPr>
      </w:pPr>
      <w:r>
        <w:rPr>
          <w:rFonts w:hint="eastAsia" w:ascii="仿宋" w:hAnsi="仿宋" w:eastAsia="仿宋"/>
          <w:sz w:val="32"/>
          <w:szCs w:val="32"/>
        </w:rPr>
        <w:t>要求硕士提交的学位论文应该至少在该领域从事一年以上的有效研究工作，并在实际工作过程中得出一定的创新研究成果，这一过程的完成可以证明作者具有一定的独立进行科学研究的能力；在论文撰写的过程中提到的专业问题，能够明晰得说明和解答，以此证明该研究人员已经掌握了该研究领域的基础知识，并可以联系各个因果原因进行深入的分析解答；总体上整篇硕士学位论文必须具有系统性和完整性以及做到逻辑清晰，论文的内容中应如实的反映出硕士研究生在学习过程中导师对其进行的科研指导，并且在指导下独立完成工作。大体分为三部分，文献综述部分要求作者必须广泛查阅文献，对所研究的内容和背景进行广泛的了解以完成文献综述；结论部分要求作者对自身的工作进行总结分析，得出有一定实际意义的结论；论文的正文部分要确保研究数据客观准确，文字表达通顺，合理使用图表等多种表达形式，研究内容全面，得出的结论逻辑正确。</w:t>
      </w:r>
    </w:p>
    <w:p w14:paraId="318A5D16">
      <w:pPr>
        <w:widowControl/>
        <w:spacing w:line="520" w:lineRule="exact"/>
        <w:ind w:firstLine="640" w:firstLineChars="200"/>
        <w:jc w:val="left"/>
        <w:rPr>
          <w:rFonts w:ascii="仿宋" w:hAnsi="仿宋" w:eastAsia="仿宋"/>
          <w:sz w:val="32"/>
          <w:szCs w:val="32"/>
        </w:rPr>
      </w:pPr>
      <w:r>
        <w:rPr>
          <w:rFonts w:hint="eastAsia" w:ascii="仿宋" w:hAnsi="仿宋" w:eastAsia="仿宋"/>
          <w:sz w:val="32"/>
          <w:szCs w:val="32"/>
        </w:rPr>
        <w:t>研究生提交的硕士学位论文必须是在学科撰写规范的要求下完成，格式规范，体系完整这是最基本的要求；除此之外学位论文应对社会的发展、文化的进步或者是社会经济的发展具有一定的学术意义；论文的作者应该在研究国内外的发展动向的基础上提出个人的创新点，突出个人特点，对自己的研究领域有新的见地。学术型硕士研究生应至少完成一篇与学位论文内容相关且达到发表要求的论文;应用型硕士研究生和工程型硕士研究生应参与半年工程实践，能够解决实际环境问题。具体情况依据本校学科情况制定的由校学位委员会批准的方案。</w:t>
      </w:r>
    </w:p>
    <w:p w14:paraId="705F4029">
      <w:pPr>
        <w:widowControl/>
        <w:spacing w:line="520" w:lineRule="exact"/>
        <w:ind w:firstLine="643" w:firstLineChars="200"/>
        <w:jc w:val="left"/>
        <w:rPr>
          <w:rFonts w:ascii="仿宋" w:hAnsi="仿宋" w:eastAsia="仿宋"/>
          <w:b/>
          <w:sz w:val="32"/>
          <w:szCs w:val="32"/>
        </w:rPr>
      </w:pPr>
      <w:r>
        <w:rPr>
          <w:rFonts w:hint="eastAsia" w:ascii="仿宋" w:hAnsi="仿宋" w:eastAsia="仿宋"/>
          <w:b/>
          <w:sz w:val="32"/>
          <w:szCs w:val="32"/>
        </w:rPr>
        <w:t>二、基本条件</w:t>
      </w:r>
    </w:p>
    <w:p w14:paraId="2A242A18">
      <w:pPr>
        <w:snapToGrid w:val="0"/>
        <w:spacing w:line="54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2.1培养方向</w:t>
      </w:r>
    </w:p>
    <w:p w14:paraId="5D8CFF15">
      <w:pPr>
        <w:snapToGrid w:val="0"/>
        <w:spacing w:line="54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环境科学与工程专业方向，本学位点充分借鉴自然科学、技术科学和人文社会科学的原理与方法，在解决环境问题的过程中形成环境科学特色的理论与方法体系，现已形成环境污染化学、环境污染控制理论与修复技术、环境分析与监测三个特色研究方向。学科建设过程中坚持紧跟时代需求，加强环境科学与化学、物理学等基础学科交叉与融合。学科内涵将随着对环境问题研究的深入和对学科方法论的创新而日益丰富和完善，研究领域亦将随之不断深化与扩展。</w:t>
      </w:r>
    </w:p>
    <w:p w14:paraId="1A64F323">
      <w:pPr>
        <w:widowControl/>
        <w:spacing w:line="520" w:lineRule="exact"/>
        <w:ind w:firstLine="643" w:firstLineChars="200"/>
        <w:jc w:val="left"/>
        <w:rPr>
          <w:rFonts w:ascii="仿宋" w:hAnsi="仿宋" w:eastAsia="仿宋"/>
          <w:b/>
          <w:sz w:val="32"/>
          <w:szCs w:val="32"/>
        </w:rPr>
      </w:pPr>
      <w:r>
        <w:rPr>
          <w:rFonts w:hint="eastAsia" w:ascii="仿宋" w:hAnsi="仿宋" w:eastAsia="仿宋"/>
          <w:b/>
          <w:sz w:val="32"/>
          <w:szCs w:val="32"/>
        </w:rPr>
        <w:t>2.2师资队伍</w:t>
      </w:r>
    </w:p>
    <w:p w14:paraId="4E6DD6A6">
      <w:pPr>
        <w:widowControl/>
        <w:spacing w:line="520" w:lineRule="exact"/>
        <w:ind w:firstLine="640" w:firstLineChars="200"/>
        <w:jc w:val="left"/>
        <w:rPr>
          <w:rFonts w:ascii="仿宋" w:hAnsi="仿宋" w:eastAsia="仿宋"/>
          <w:sz w:val="32"/>
          <w:szCs w:val="32"/>
        </w:rPr>
      </w:pPr>
      <w:r>
        <w:rPr>
          <w:rFonts w:hint="eastAsia" w:ascii="仿宋" w:hAnsi="仿宋" w:eastAsia="仿宋"/>
          <w:sz w:val="32"/>
          <w:szCs w:val="32"/>
        </w:rPr>
        <w:t>2020年学科现有专任教师22人，其中教授4人，副教授7人，讲师11人。其中，具有博士学位的教师21人，最高学位非本单位人数9人，导师人数15人，博导人数5人。</w:t>
      </w:r>
    </w:p>
    <w:p w14:paraId="3FDFC354">
      <w:pPr>
        <w:widowControl/>
        <w:spacing w:line="520" w:lineRule="exact"/>
        <w:ind w:firstLine="640" w:firstLineChars="200"/>
        <w:jc w:val="left"/>
        <w:rPr>
          <w:rFonts w:ascii="仿宋" w:hAnsi="仿宋" w:eastAsia="仿宋"/>
          <w:sz w:val="32"/>
          <w:szCs w:val="32"/>
        </w:rPr>
      </w:pPr>
      <w:r>
        <w:rPr>
          <w:rFonts w:hint="eastAsia" w:ascii="仿宋" w:hAnsi="仿宋" w:eastAsia="仿宋"/>
          <w:sz w:val="32"/>
          <w:szCs w:val="32"/>
        </w:rPr>
        <w:t>教师年龄结构：</w:t>
      </w:r>
    </w:p>
    <w:tbl>
      <w:tblPr>
        <w:tblStyle w:val="8"/>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720"/>
      </w:tblGrid>
      <w:tr w14:paraId="2851E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720" w:type="dxa"/>
            <w:vAlign w:val="center"/>
          </w:tcPr>
          <w:p w14:paraId="7EF21163">
            <w:pPr>
              <w:widowControl/>
              <w:spacing w:line="520" w:lineRule="exact"/>
              <w:jc w:val="center"/>
              <w:rPr>
                <w:rFonts w:ascii="仿宋" w:hAnsi="仿宋" w:eastAsia="仿宋"/>
                <w:sz w:val="32"/>
                <w:szCs w:val="32"/>
              </w:rPr>
            </w:pPr>
            <w:r>
              <w:drawing>
                <wp:anchor distT="0" distB="0" distL="114300" distR="114300" simplePos="0" relativeHeight="251659264" behindDoc="0" locked="0" layoutInCell="1" allowOverlap="1">
                  <wp:simplePos x="0" y="0"/>
                  <wp:positionH relativeFrom="column">
                    <wp:posOffset>-635</wp:posOffset>
                  </wp:positionH>
                  <wp:positionV relativeFrom="paragraph">
                    <wp:posOffset>-2477135</wp:posOffset>
                  </wp:positionV>
                  <wp:extent cx="3127375" cy="2743200"/>
                  <wp:effectExtent l="4445" t="4445" r="7620" b="10795"/>
                  <wp:wrapSquare wrapText="bothSides"/>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tc>
      </w:tr>
    </w:tbl>
    <w:p w14:paraId="1CE9C5F5">
      <w:pPr>
        <w:widowControl/>
        <w:spacing w:line="240" w:lineRule="auto"/>
        <w:ind w:firstLine="640" w:firstLineChars="200"/>
        <w:jc w:val="left"/>
        <w:rPr>
          <w:rFonts w:ascii="仿宋" w:hAnsi="仿宋" w:eastAsia="仿宋"/>
          <w:sz w:val="32"/>
          <w:szCs w:val="32"/>
        </w:rPr>
      </w:pPr>
    </w:p>
    <w:p w14:paraId="056B8B8E">
      <w:pPr>
        <w:widowControl/>
        <w:spacing w:line="520" w:lineRule="exact"/>
        <w:ind w:firstLine="643" w:firstLineChars="200"/>
        <w:jc w:val="left"/>
        <w:rPr>
          <w:rFonts w:ascii="仿宋" w:hAnsi="仿宋" w:eastAsia="仿宋"/>
          <w:b/>
          <w:sz w:val="32"/>
          <w:szCs w:val="32"/>
        </w:rPr>
      </w:pPr>
      <w:r>
        <w:rPr>
          <w:rFonts w:hint="eastAsia" w:ascii="仿宋" w:hAnsi="仿宋" w:eastAsia="仿宋"/>
          <w:b/>
          <w:sz w:val="32"/>
          <w:szCs w:val="32"/>
        </w:rPr>
        <w:t>2.3科学研究</w:t>
      </w:r>
    </w:p>
    <w:p w14:paraId="24398D8C">
      <w:pPr>
        <w:widowControl/>
        <w:spacing w:line="520" w:lineRule="exact"/>
        <w:ind w:firstLine="640" w:firstLineChars="200"/>
        <w:jc w:val="left"/>
        <w:rPr>
          <w:rFonts w:ascii="仿宋" w:hAnsi="仿宋" w:eastAsia="仿宋"/>
          <w:sz w:val="32"/>
          <w:szCs w:val="32"/>
        </w:rPr>
      </w:pPr>
      <w:r>
        <w:rPr>
          <w:rFonts w:hint="eastAsia" w:ascii="仿宋" w:hAnsi="仿宋" w:eastAsia="仿宋"/>
          <w:color w:val="000000"/>
          <w:sz w:val="32"/>
          <w:szCs w:val="32"/>
        </w:rPr>
        <w:t>环境科学与工程</w:t>
      </w:r>
      <w:r>
        <w:rPr>
          <w:rFonts w:hint="eastAsia" w:ascii="仿宋" w:hAnsi="仿宋" w:eastAsia="仿宋"/>
          <w:sz w:val="32"/>
          <w:szCs w:val="32"/>
        </w:rPr>
        <w:t>学位点2020年已完成的主要项目：</w:t>
      </w:r>
    </w:p>
    <w:tbl>
      <w:tblPr>
        <w:tblStyle w:val="16"/>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48"/>
        <w:gridCol w:w="1791"/>
        <w:gridCol w:w="1665"/>
        <w:gridCol w:w="809"/>
        <w:gridCol w:w="1485"/>
        <w:gridCol w:w="1172"/>
        <w:gridCol w:w="1039"/>
      </w:tblGrid>
      <w:tr w14:paraId="51018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7" w:hRule="atLeast"/>
          <w:jc w:val="center"/>
        </w:trPr>
        <w:tc>
          <w:tcPr>
            <w:tcW w:w="322" w:type="pct"/>
            <w:vAlign w:val="center"/>
          </w:tcPr>
          <w:p w14:paraId="73EC6959">
            <w:pPr>
              <w:jc w:val="center"/>
              <w:rPr>
                <w:rFonts w:ascii="仿宋" w:hAnsi="仿宋" w:eastAsia="仿宋" w:cs="仿宋"/>
                <w:b/>
                <w:bCs/>
                <w:szCs w:val="21"/>
              </w:rPr>
            </w:pPr>
            <w:r>
              <w:rPr>
                <w:rFonts w:hint="eastAsia" w:ascii="仿宋" w:hAnsi="仿宋" w:eastAsia="仿宋" w:cs="仿宋"/>
                <w:b/>
                <w:bCs/>
                <w:szCs w:val="21"/>
              </w:rPr>
              <w:br w:type="page"/>
            </w:r>
            <w:r>
              <w:rPr>
                <w:rFonts w:hint="eastAsia" w:ascii="仿宋" w:hAnsi="仿宋" w:eastAsia="仿宋" w:cs="仿宋"/>
                <w:b/>
                <w:bCs/>
                <w:szCs w:val="21"/>
              </w:rPr>
              <w:t>序号</w:t>
            </w:r>
          </w:p>
        </w:tc>
        <w:tc>
          <w:tcPr>
            <w:tcW w:w="1052" w:type="pct"/>
            <w:vAlign w:val="center"/>
          </w:tcPr>
          <w:p w14:paraId="310FF1F3">
            <w:pPr>
              <w:pStyle w:val="14"/>
              <w:jc w:val="center"/>
              <w:rPr>
                <w:rFonts w:ascii="仿宋" w:hAnsi="仿宋" w:eastAsia="仿宋" w:cs="仿宋"/>
                <w:b/>
                <w:bCs/>
                <w:szCs w:val="21"/>
              </w:rPr>
            </w:pPr>
            <w:r>
              <w:rPr>
                <w:rFonts w:hint="eastAsia" w:ascii="仿宋" w:hAnsi="仿宋" w:eastAsia="仿宋" w:cs="仿宋"/>
                <w:b/>
                <w:bCs/>
                <w:szCs w:val="21"/>
              </w:rPr>
              <w:t>名称</w:t>
            </w:r>
          </w:p>
        </w:tc>
        <w:tc>
          <w:tcPr>
            <w:tcW w:w="978" w:type="pct"/>
            <w:vAlign w:val="center"/>
          </w:tcPr>
          <w:p w14:paraId="2649C576">
            <w:pPr>
              <w:pStyle w:val="14"/>
              <w:jc w:val="center"/>
              <w:rPr>
                <w:rFonts w:ascii="仿宋" w:hAnsi="仿宋" w:eastAsia="仿宋" w:cs="仿宋"/>
                <w:b/>
                <w:bCs/>
                <w:szCs w:val="21"/>
              </w:rPr>
            </w:pPr>
            <w:r>
              <w:rPr>
                <w:rFonts w:hint="eastAsia" w:ascii="仿宋" w:hAnsi="仿宋" w:eastAsia="仿宋" w:cs="仿宋"/>
                <w:b/>
                <w:bCs/>
                <w:szCs w:val="21"/>
              </w:rPr>
              <w:t>来源</w:t>
            </w:r>
          </w:p>
        </w:tc>
        <w:tc>
          <w:tcPr>
            <w:tcW w:w="475" w:type="pct"/>
            <w:vAlign w:val="center"/>
          </w:tcPr>
          <w:p w14:paraId="3E62E334">
            <w:pPr>
              <w:pStyle w:val="14"/>
              <w:jc w:val="center"/>
              <w:rPr>
                <w:rFonts w:ascii="仿宋" w:hAnsi="仿宋" w:eastAsia="仿宋" w:cs="仿宋"/>
                <w:b/>
                <w:bCs/>
                <w:szCs w:val="21"/>
              </w:rPr>
            </w:pPr>
            <w:r>
              <w:rPr>
                <w:rFonts w:hint="eastAsia" w:ascii="仿宋" w:hAnsi="仿宋" w:eastAsia="仿宋" w:cs="仿宋"/>
                <w:b/>
                <w:bCs/>
                <w:szCs w:val="21"/>
              </w:rPr>
              <w:t>类别</w:t>
            </w:r>
          </w:p>
        </w:tc>
        <w:tc>
          <w:tcPr>
            <w:tcW w:w="872" w:type="pct"/>
            <w:vAlign w:val="center"/>
          </w:tcPr>
          <w:p w14:paraId="58064A6B">
            <w:pPr>
              <w:pStyle w:val="14"/>
              <w:jc w:val="center"/>
              <w:rPr>
                <w:rFonts w:ascii="仿宋" w:hAnsi="仿宋" w:eastAsia="仿宋" w:cs="仿宋"/>
                <w:b/>
                <w:bCs/>
                <w:szCs w:val="21"/>
              </w:rPr>
            </w:pPr>
            <w:r>
              <w:rPr>
                <w:rFonts w:hint="eastAsia" w:ascii="仿宋" w:hAnsi="仿宋" w:eastAsia="仿宋" w:cs="仿宋"/>
                <w:b/>
                <w:bCs/>
                <w:szCs w:val="21"/>
              </w:rPr>
              <w:t>起讫时间</w:t>
            </w:r>
          </w:p>
        </w:tc>
        <w:tc>
          <w:tcPr>
            <w:tcW w:w="688" w:type="pct"/>
            <w:vAlign w:val="center"/>
          </w:tcPr>
          <w:p w14:paraId="37327D52">
            <w:pPr>
              <w:pStyle w:val="14"/>
              <w:jc w:val="center"/>
              <w:rPr>
                <w:rFonts w:ascii="仿宋" w:hAnsi="仿宋" w:eastAsia="仿宋" w:cs="仿宋"/>
                <w:b/>
                <w:bCs/>
                <w:szCs w:val="21"/>
              </w:rPr>
            </w:pPr>
            <w:r>
              <w:rPr>
                <w:rFonts w:hint="eastAsia" w:ascii="仿宋" w:hAnsi="仿宋" w:eastAsia="仿宋" w:cs="仿宋"/>
                <w:b/>
                <w:bCs/>
                <w:szCs w:val="21"/>
              </w:rPr>
              <w:t>负责人</w:t>
            </w:r>
          </w:p>
        </w:tc>
        <w:tc>
          <w:tcPr>
            <w:tcW w:w="610" w:type="pct"/>
            <w:vAlign w:val="center"/>
          </w:tcPr>
          <w:p w14:paraId="18985D00">
            <w:pPr>
              <w:pStyle w:val="14"/>
              <w:jc w:val="center"/>
              <w:rPr>
                <w:rFonts w:ascii="仿宋" w:hAnsi="仿宋" w:eastAsia="仿宋" w:cs="仿宋"/>
                <w:b/>
                <w:bCs/>
                <w:spacing w:val="-4"/>
                <w:w w:val="95"/>
                <w:szCs w:val="21"/>
              </w:rPr>
            </w:pPr>
            <w:r>
              <w:rPr>
                <w:rFonts w:hint="eastAsia" w:ascii="仿宋" w:hAnsi="仿宋" w:eastAsia="仿宋" w:cs="仿宋"/>
                <w:b/>
                <w:bCs/>
                <w:spacing w:val="-4"/>
                <w:w w:val="95"/>
                <w:szCs w:val="21"/>
              </w:rPr>
              <w:t>到账经费</w:t>
            </w:r>
          </w:p>
          <w:p w14:paraId="0A5626CB">
            <w:pPr>
              <w:pStyle w:val="14"/>
              <w:jc w:val="center"/>
              <w:rPr>
                <w:rFonts w:ascii="仿宋" w:hAnsi="仿宋" w:eastAsia="仿宋" w:cs="仿宋"/>
                <w:b/>
                <w:bCs/>
                <w:szCs w:val="21"/>
              </w:rPr>
            </w:pPr>
            <w:r>
              <w:rPr>
                <w:rFonts w:hint="eastAsia" w:ascii="仿宋" w:hAnsi="仿宋" w:eastAsia="仿宋" w:cs="仿宋"/>
                <w:b/>
                <w:bCs/>
                <w:w w:val="95"/>
                <w:szCs w:val="21"/>
              </w:rPr>
              <w:t>（万元）</w:t>
            </w:r>
          </w:p>
        </w:tc>
      </w:tr>
      <w:tr w14:paraId="3DDA0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0" w:hRule="atLeast"/>
          <w:jc w:val="center"/>
        </w:trPr>
        <w:tc>
          <w:tcPr>
            <w:tcW w:w="322" w:type="pct"/>
            <w:vAlign w:val="center"/>
          </w:tcPr>
          <w:p w14:paraId="39D5712F">
            <w:pPr>
              <w:pStyle w:val="14"/>
              <w:jc w:val="center"/>
              <w:rPr>
                <w:rFonts w:ascii="仿宋" w:hAnsi="仿宋" w:eastAsia="仿宋" w:cs="仿宋"/>
                <w:w w:val="99"/>
              </w:rPr>
            </w:pPr>
            <w:r>
              <w:rPr>
                <w:rFonts w:hint="eastAsia" w:ascii="仿宋" w:hAnsi="仿宋" w:eastAsia="仿宋" w:cs="仿宋"/>
                <w:w w:val="99"/>
              </w:rPr>
              <w:t>1</w:t>
            </w:r>
          </w:p>
        </w:tc>
        <w:tc>
          <w:tcPr>
            <w:tcW w:w="1052" w:type="pct"/>
            <w:vAlign w:val="center"/>
          </w:tcPr>
          <w:p w14:paraId="113C982B">
            <w:pPr>
              <w:pStyle w:val="14"/>
              <w:jc w:val="center"/>
              <w:rPr>
                <w:rFonts w:ascii="仿宋" w:hAnsi="仿宋" w:eastAsia="仿宋" w:cs="仿宋"/>
                <w:bCs/>
              </w:rPr>
            </w:pPr>
            <w:r>
              <w:rPr>
                <w:rFonts w:hint="eastAsia" w:ascii="仿宋" w:hAnsi="仿宋" w:eastAsia="仿宋" w:cs="仿宋"/>
              </w:rPr>
              <w:t>餐饮源VOCs及PM2.5特征排放谱及其示踪物研究</w:t>
            </w:r>
            <w:r>
              <w:rPr>
                <w:rFonts w:hint="eastAsia" w:ascii="仿宋" w:hAnsi="仿宋" w:eastAsia="仿宋" w:cs="仿宋"/>
                <w:bCs/>
              </w:rPr>
              <w:t>（</w:t>
            </w:r>
            <w:r>
              <w:rPr>
                <w:rFonts w:hint="eastAsia" w:ascii="仿宋" w:hAnsi="仿宋" w:eastAsia="仿宋" w:cs="仿宋"/>
              </w:rPr>
              <w:t>B2018201224</w:t>
            </w:r>
            <w:r>
              <w:rPr>
                <w:rFonts w:hint="eastAsia" w:ascii="仿宋" w:hAnsi="仿宋" w:eastAsia="仿宋" w:cs="仿宋"/>
                <w:bCs/>
              </w:rPr>
              <w:t>）</w:t>
            </w:r>
          </w:p>
        </w:tc>
        <w:tc>
          <w:tcPr>
            <w:tcW w:w="978" w:type="pct"/>
            <w:vAlign w:val="center"/>
          </w:tcPr>
          <w:p w14:paraId="136AE035">
            <w:pPr>
              <w:pStyle w:val="14"/>
              <w:jc w:val="center"/>
              <w:rPr>
                <w:rFonts w:ascii="仿宋" w:hAnsi="仿宋" w:eastAsia="仿宋" w:cs="仿宋"/>
                <w:sz w:val="20"/>
              </w:rPr>
            </w:pPr>
            <w:r>
              <w:rPr>
                <w:rFonts w:hint="eastAsia" w:ascii="仿宋" w:hAnsi="仿宋" w:eastAsia="仿宋" w:cs="仿宋"/>
                <w:bCs/>
                <w:szCs w:val="21"/>
              </w:rPr>
              <w:t>河北省自然科学基金</w:t>
            </w:r>
          </w:p>
        </w:tc>
        <w:tc>
          <w:tcPr>
            <w:tcW w:w="475" w:type="pct"/>
            <w:vAlign w:val="center"/>
          </w:tcPr>
          <w:p w14:paraId="423764FF">
            <w:pPr>
              <w:pStyle w:val="14"/>
              <w:jc w:val="center"/>
              <w:rPr>
                <w:rFonts w:ascii="仿宋" w:hAnsi="仿宋" w:eastAsia="仿宋" w:cs="仿宋"/>
                <w:sz w:val="20"/>
              </w:rPr>
            </w:pPr>
            <w:r>
              <w:rPr>
                <w:rFonts w:hint="eastAsia" w:ascii="仿宋" w:hAnsi="仿宋" w:eastAsia="仿宋" w:cs="仿宋"/>
                <w:szCs w:val="21"/>
              </w:rPr>
              <w:t>面上项目</w:t>
            </w:r>
          </w:p>
        </w:tc>
        <w:tc>
          <w:tcPr>
            <w:tcW w:w="872" w:type="pct"/>
            <w:vAlign w:val="center"/>
          </w:tcPr>
          <w:p w14:paraId="482E789E">
            <w:pPr>
              <w:pStyle w:val="14"/>
              <w:jc w:val="center"/>
              <w:rPr>
                <w:rFonts w:ascii="仿宋" w:hAnsi="仿宋" w:eastAsia="仿宋" w:cs="仿宋"/>
                <w:sz w:val="20"/>
              </w:rPr>
            </w:pPr>
            <w:r>
              <w:rPr>
                <w:rFonts w:hint="eastAsia" w:ascii="仿宋" w:hAnsi="仿宋" w:eastAsia="仿宋" w:cs="仿宋"/>
                <w:szCs w:val="21"/>
              </w:rPr>
              <w:t>2018-2020</w:t>
            </w:r>
          </w:p>
        </w:tc>
        <w:tc>
          <w:tcPr>
            <w:tcW w:w="688" w:type="pct"/>
            <w:vAlign w:val="center"/>
          </w:tcPr>
          <w:p w14:paraId="69E65767">
            <w:pPr>
              <w:pStyle w:val="14"/>
              <w:jc w:val="center"/>
              <w:rPr>
                <w:rFonts w:ascii="仿宋" w:hAnsi="仿宋" w:eastAsia="仿宋" w:cs="仿宋"/>
                <w:sz w:val="20"/>
              </w:rPr>
            </w:pPr>
            <w:r>
              <w:rPr>
                <w:rFonts w:hint="eastAsia" w:ascii="仿宋" w:hAnsi="仿宋" w:eastAsia="仿宋" w:cs="仿宋"/>
                <w:szCs w:val="21"/>
              </w:rPr>
              <w:t>刘芃岩</w:t>
            </w:r>
          </w:p>
        </w:tc>
        <w:tc>
          <w:tcPr>
            <w:tcW w:w="610" w:type="pct"/>
            <w:vAlign w:val="center"/>
          </w:tcPr>
          <w:p w14:paraId="46D10825">
            <w:pPr>
              <w:pStyle w:val="14"/>
              <w:jc w:val="center"/>
              <w:rPr>
                <w:rFonts w:ascii="仿宋" w:hAnsi="仿宋" w:eastAsia="仿宋" w:cs="仿宋"/>
                <w:sz w:val="20"/>
              </w:rPr>
            </w:pPr>
            <w:r>
              <w:rPr>
                <w:rFonts w:hint="eastAsia" w:ascii="仿宋" w:hAnsi="仿宋" w:eastAsia="仿宋" w:cs="仿宋"/>
                <w:szCs w:val="21"/>
              </w:rPr>
              <w:t>6</w:t>
            </w:r>
          </w:p>
        </w:tc>
      </w:tr>
      <w:tr w14:paraId="4EFF3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0" w:hRule="atLeast"/>
          <w:jc w:val="center"/>
        </w:trPr>
        <w:tc>
          <w:tcPr>
            <w:tcW w:w="322" w:type="pct"/>
            <w:vAlign w:val="center"/>
          </w:tcPr>
          <w:p w14:paraId="0B08F31B">
            <w:pPr>
              <w:pStyle w:val="14"/>
              <w:jc w:val="center"/>
              <w:rPr>
                <w:rFonts w:ascii="仿宋" w:hAnsi="仿宋" w:eastAsia="仿宋" w:cs="仿宋"/>
              </w:rPr>
            </w:pPr>
            <w:r>
              <w:rPr>
                <w:rFonts w:hint="eastAsia" w:ascii="仿宋" w:hAnsi="仿宋" w:eastAsia="仿宋" w:cs="仿宋"/>
                <w:w w:val="99"/>
              </w:rPr>
              <w:t>2</w:t>
            </w:r>
          </w:p>
        </w:tc>
        <w:tc>
          <w:tcPr>
            <w:tcW w:w="1052" w:type="pct"/>
            <w:vAlign w:val="center"/>
          </w:tcPr>
          <w:p w14:paraId="49C47180">
            <w:pPr>
              <w:pStyle w:val="14"/>
              <w:jc w:val="center"/>
              <w:rPr>
                <w:rFonts w:ascii="仿宋" w:hAnsi="仿宋" w:eastAsia="仿宋" w:cs="仿宋"/>
                <w:szCs w:val="21"/>
              </w:rPr>
            </w:pPr>
            <w:r>
              <w:rPr>
                <w:rFonts w:hint="eastAsia" w:ascii="仿宋" w:hAnsi="仿宋" w:eastAsia="仿宋" w:cs="仿宋"/>
              </w:rPr>
              <w:t>正渗透膜-光合生物电化学系统中污水碳氮磷同步去除及膜污染控制机理研究（51708167）</w:t>
            </w:r>
          </w:p>
        </w:tc>
        <w:tc>
          <w:tcPr>
            <w:tcW w:w="978" w:type="pct"/>
            <w:vAlign w:val="center"/>
          </w:tcPr>
          <w:p w14:paraId="50D72B03">
            <w:pPr>
              <w:pStyle w:val="14"/>
              <w:jc w:val="center"/>
              <w:rPr>
                <w:rFonts w:ascii="仿宋" w:hAnsi="仿宋" w:eastAsia="仿宋" w:cs="仿宋"/>
                <w:bCs/>
              </w:rPr>
            </w:pPr>
            <w:r>
              <w:rPr>
                <w:rFonts w:hint="eastAsia" w:ascii="仿宋" w:hAnsi="仿宋" w:eastAsia="仿宋" w:cs="仿宋"/>
              </w:rPr>
              <w:t>国家自然科学基金</w:t>
            </w:r>
          </w:p>
        </w:tc>
        <w:tc>
          <w:tcPr>
            <w:tcW w:w="475" w:type="pct"/>
            <w:vAlign w:val="center"/>
          </w:tcPr>
          <w:p w14:paraId="6DA7A597">
            <w:pPr>
              <w:pStyle w:val="14"/>
              <w:jc w:val="center"/>
              <w:rPr>
                <w:rFonts w:ascii="仿宋" w:hAnsi="仿宋" w:eastAsia="仿宋" w:cs="仿宋"/>
                <w:szCs w:val="21"/>
              </w:rPr>
            </w:pPr>
            <w:r>
              <w:rPr>
                <w:rFonts w:hint="eastAsia" w:ascii="仿宋" w:hAnsi="仿宋" w:eastAsia="仿宋" w:cs="仿宋"/>
                <w:sz w:val="20"/>
              </w:rPr>
              <w:t>青年项目</w:t>
            </w:r>
          </w:p>
        </w:tc>
        <w:tc>
          <w:tcPr>
            <w:tcW w:w="872" w:type="pct"/>
            <w:vAlign w:val="center"/>
          </w:tcPr>
          <w:p w14:paraId="38E9C1C4">
            <w:pPr>
              <w:pStyle w:val="14"/>
              <w:jc w:val="center"/>
              <w:rPr>
                <w:rFonts w:ascii="仿宋" w:hAnsi="仿宋" w:eastAsia="仿宋" w:cs="仿宋"/>
                <w:szCs w:val="21"/>
              </w:rPr>
            </w:pPr>
            <w:r>
              <w:rPr>
                <w:rFonts w:hint="eastAsia" w:ascii="仿宋" w:hAnsi="仿宋" w:eastAsia="仿宋" w:cs="仿宋"/>
                <w:sz w:val="20"/>
              </w:rPr>
              <w:t>2018-2020</w:t>
            </w:r>
          </w:p>
        </w:tc>
        <w:tc>
          <w:tcPr>
            <w:tcW w:w="688" w:type="pct"/>
            <w:vAlign w:val="center"/>
          </w:tcPr>
          <w:p w14:paraId="7716FFD1">
            <w:pPr>
              <w:pStyle w:val="14"/>
              <w:jc w:val="center"/>
              <w:rPr>
                <w:rFonts w:ascii="仿宋" w:hAnsi="仿宋" w:eastAsia="仿宋" w:cs="仿宋"/>
                <w:sz w:val="20"/>
              </w:rPr>
            </w:pPr>
            <w:r>
              <w:rPr>
                <w:rFonts w:hint="eastAsia" w:ascii="仿宋" w:hAnsi="仿宋" w:eastAsia="仿宋" w:cs="仿宋"/>
                <w:sz w:val="20"/>
              </w:rPr>
              <w:t>李  慧</w:t>
            </w:r>
          </w:p>
        </w:tc>
        <w:tc>
          <w:tcPr>
            <w:tcW w:w="610" w:type="pct"/>
            <w:vAlign w:val="center"/>
          </w:tcPr>
          <w:p w14:paraId="2F5C0828">
            <w:pPr>
              <w:pStyle w:val="14"/>
              <w:jc w:val="center"/>
              <w:rPr>
                <w:rFonts w:ascii="仿宋" w:hAnsi="仿宋" w:eastAsia="仿宋" w:cs="仿宋"/>
                <w:sz w:val="20"/>
              </w:rPr>
            </w:pPr>
            <w:r>
              <w:rPr>
                <w:rFonts w:hint="eastAsia" w:ascii="仿宋" w:hAnsi="仿宋" w:eastAsia="仿宋" w:cs="仿宋"/>
                <w:sz w:val="20"/>
              </w:rPr>
              <w:t>25</w:t>
            </w:r>
          </w:p>
        </w:tc>
      </w:tr>
      <w:tr w14:paraId="405E6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0" w:hRule="atLeast"/>
          <w:jc w:val="center"/>
        </w:trPr>
        <w:tc>
          <w:tcPr>
            <w:tcW w:w="322" w:type="pct"/>
            <w:vAlign w:val="center"/>
          </w:tcPr>
          <w:p w14:paraId="30A7FD68">
            <w:pPr>
              <w:pStyle w:val="14"/>
              <w:jc w:val="center"/>
              <w:rPr>
                <w:rFonts w:ascii="仿宋" w:hAnsi="仿宋" w:eastAsia="仿宋" w:cs="仿宋"/>
                <w:w w:val="99"/>
              </w:rPr>
            </w:pPr>
            <w:r>
              <w:rPr>
                <w:rFonts w:hint="eastAsia" w:ascii="仿宋" w:hAnsi="仿宋" w:eastAsia="仿宋" w:cs="仿宋"/>
                <w:w w:val="99"/>
              </w:rPr>
              <w:t>3</w:t>
            </w:r>
          </w:p>
        </w:tc>
        <w:tc>
          <w:tcPr>
            <w:tcW w:w="1052" w:type="pct"/>
            <w:vAlign w:val="center"/>
          </w:tcPr>
          <w:p w14:paraId="55634685">
            <w:pPr>
              <w:pStyle w:val="14"/>
              <w:jc w:val="center"/>
              <w:rPr>
                <w:rFonts w:ascii="仿宋" w:hAnsi="仿宋" w:eastAsia="仿宋" w:cs="仿宋"/>
              </w:rPr>
            </w:pPr>
            <w:r>
              <w:rPr>
                <w:rFonts w:hint="eastAsia" w:ascii="仿宋" w:hAnsi="仿宋" w:eastAsia="仿宋" w:cs="仿宋"/>
              </w:rPr>
              <w:t>河北雄安新区坑塘现状调研项目</w:t>
            </w:r>
          </w:p>
        </w:tc>
        <w:tc>
          <w:tcPr>
            <w:tcW w:w="978" w:type="pct"/>
            <w:vAlign w:val="center"/>
          </w:tcPr>
          <w:p w14:paraId="0300F1A7">
            <w:pPr>
              <w:pStyle w:val="14"/>
              <w:jc w:val="center"/>
              <w:rPr>
                <w:rFonts w:ascii="仿宋" w:hAnsi="仿宋" w:eastAsia="仿宋" w:cs="仿宋"/>
              </w:rPr>
            </w:pPr>
            <w:r>
              <w:rPr>
                <w:rFonts w:hint="eastAsia" w:ascii="仿宋" w:hAnsi="仿宋" w:eastAsia="仿宋" w:cs="仿宋"/>
                <w:bCs/>
              </w:rPr>
              <w:t>企业</w:t>
            </w:r>
          </w:p>
        </w:tc>
        <w:tc>
          <w:tcPr>
            <w:tcW w:w="475" w:type="pct"/>
            <w:vAlign w:val="center"/>
          </w:tcPr>
          <w:p w14:paraId="02278CFA">
            <w:pPr>
              <w:pStyle w:val="14"/>
              <w:jc w:val="center"/>
              <w:rPr>
                <w:rFonts w:ascii="仿宋" w:hAnsi="仿宋" w:eastAsia="仿宋" w:cs="仿宋"/>
              </w:rPr>
            </w:pPr>
            <w:r>
              <w:rPr>
                <w:rFonts w:hint="eastAsia" w:ascii="仿宋" w:hAnsi="仿宋" w:eastAsia="仿宋" w:cs="仿宋"/>
                <w:bCs/>
              </w:rPr>
              <w:t>横向项目</w:t>
            </w:r>
          </w:p>
        </w:tc>
        <w:tc>
          <w:tcPr>
            <w:tcW w:w="872" w:type="pct"/>
            <w:vAlign w:val="center"/>
          </w:tcPr>
          <w:p w14:paraId="179FCED3">
            <w:pPr>
              <w:pStyle w:val="14"/>
              <w:jc w:val="center"/>
              <w:rPr>
                <w:rFonts w:ascii="仿宋" w:hAnsi="仿宋" w:eastAsia="仿宋" w:cs="仿宋"/>
              </w:rPr>
            </w:pPr>
            <w:r>
              <w:rPr>
                <w:rFonts w:hint="eastAsia" w:ascii="仿宋" w:hAnsi="仿宋" w:eastAsia="仿宋" w:cs="仿宋"/>
                <w:szCs w:val="21"/>
              </w:rPr>
              <w:t>2019-2020</w:t>
            </w:r>
          </w:p>
        </w:tc>
        <w:tc>
          <w:tcPr>
            <w:tcW w:w="688" w:type="pct"/>
            <w:vAlign w:val="center"/>
          </w:tcPr>
          <w:p w14:paraId="086B1F3C">
            <w:pPr>
              <w:pStyle w:val="14"/>
              <w:jc w:val="center"/>
              <w:rPr>
                <w:rFonts w:ascii="仿宋" w:hAnsi="仿宋" w:eastAsia="仿宋" w:cs="仿宋"/>
                <w:szCs w:val="21"/>
              </w:rPr>
            </w:pPr>
            <w:r>
              <w:rPr>
                <w:rFonts w:hint="eastAsia" w:ascii="仿宋" w:hAnsi="仿宋" w:eastAsia="仿宋" w:cs="仿宋"/>
                <w:sz w:val="20"/>
              </w:rPr>
              <w:t>王洪杰</w:t>
            </w:r>
          </w:p>
        </w:tc>
        <w:tc>
          <w:tcPr>
            <w:tcW w:w="610" w:type="pct"/>
            <w:vAlign w:val="center"/>
          </w:tcPr>
          <w:p w14:paraId="647A9470">
            <w:pPr>
              <w:pStyle w:val="14"/>
              <w:jc w:val="center"/>
              <w:rPr>
                <w:rFonts w:ascii="仿宋" w:hAnsi="仿宋" w:eastAsia="仿宋" w:cs="仿宋"/>
                <w:szCs w:val="21"/>
              </w:rPr>
            </w:pPr>
            <w:r>
              <w:rPr>
                <w:rFonts w:hint="eastAsia" w:ascii="仿宋" w:hAnsi="仿宋" w:eastAsia="仿宋" w:cs="仿宋"/>
                <w:sz w:val="20"/>
              </w:rPr>
              <w:t>40</w:t>
            </w:r>
          </w:p>
        </w:tc>
      </w:tr>
    </w:tbl>
    <w:p w14:paraId="0ED5EDEC">
      <w:pPr>
        <w:widowControl/>
        <w:spacing w:line="520" w:lineRule="exact"/>
        <w:ind w:firstLine="640" w:firstLineChars="200"/>
        <w:jc w:val="left"/>
        <w:rPr>
          <w:rFonts w:ascii="仿宋" w:hAnsi="仿宋" w:eastAsia="仿宋"/>
          <w:sz w:val="32"/>
          <w:szCs w:val="32"/>
        </w:rPr>
      </w:pPr>
      <w:r>
        <w:rPr>
          <w:rFonts w:hint="eastAsia" w:ascii="仿宋" w:hAnsi="仿宋" w:eastAsia="仿宋"/>
          <w:sz w:val="32"/>
          <w:szCs w:val="32"/>
        </w:rPr>
        <w:t>在研项目情况：</w:t>
      </w:r>
    </w:p>
    <w:tbl>
      <w:tblPr>
        <w:tblStyle w:val="16"/>
        <w:tblW w:w="500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481"/>
        <w:gridCol w:w="1902"/>
        <w:gridCol w:w="1600"/>
        <w:gridCol w:w="743"/>
        <w:gridCol w:w="1419"/>
        <w:gridCol w:w="1106"/>
        <w:gridCol w:w="1266"/>
      </w:tblGrid>
      <w:tr w14:paraId="0EAF5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7" w:hRule="atLeast"/>
          <w:jc w:val="center"/>
        </w:trPr>
        <w:tc>
          <w:tcPr>
            <w:tcW w:w="282" w:type="pct"/>
            <w:vAlign w:val="center"/>
          </w:tcPr>
          <w:p w14:paraId="1D8EA248">
            <w:pPr>
              <w:jc w:val="center"/>
              <w:rPr>
                <w:rFonts w:ascii="仿宋" w:hAnsi="仿宋" w:eastAsia="仿宋" w:cs="仿宋"/>
                <w:b/>
                <w:bCs/>
                <w:szCs w:val="21"/>
              </w:rPr>
            </w:pPr>
            <w:bookmarkStart w:id="0" w:name="_Hlk66391281"/>
            <w:r>
              <w:rPr>
                <w:rFonts w:hint="eastAsia" w:ascii="仿宋" w:hAnsi="仿宋" w:eastAsia="仿宋" w:cs="仿宋"/>
                <w:b/>
                <w:bCs/>
                <w:szCs w:val="21"/>
              </w:rPr>
              <w:br w:type="page"/>
            </w:r>
            <w:r>
              <w:rPr>
                <w:rFonts w:hint="eastAsia" w:ascii="仿宋" w:hAnsi="仿宋" w:eastAsia="仿宋" w:cs="仿宋"/>
                <w:b/>
                <w:bCs/>
                <w:szCs w:val="21"/>
              </w:rPr>
              <w:t>序号</w:t>
            </w:r>
          </w:p>
        </w:tc>
        <w:tc>
          <w:tcPr>
            <w:tcW w:w="1116" w:type="pct"/>
            <w:vAlign w:val="center"/>
          </w:tcPr>
          <w:p w14:paraId="69124AF7">
            <w:pPr>
              <w:pStyle w:val="14"/>
              <w:jc w:val="center"/>
              <w:rPr>
                <w:rFonts w:ascii="仿宋" w:hAnsi="仿宋" w:eastAsia="仿宋" w:cs="仿宋"/>
                <w:b/>
                <w:bCs/>
                <w:szCs w:val="21"/>
              </w:rPr>
            </w:pPr>
            <w:r>
              <w:rPr>
                <w:rFonts w:hint="eastAsia" w:ascii="仿宋" w:hAnsi="仿宋" w:eastAsia="仿宋" w:cs="仿宋"/>
                <w:b/>
                <w:bCs/>
                <w:szCs w:val="21"/>
              </w:rPr>
              <w:t>名称</w:t>
            </w:r>
          </w:p>
        </w:tc>
        <w:tc>
          <w:tcPr>
            <w:tcW w:w="939" w:type="pct"/>
            <w:vAlign w:val="center"/>
          </w:tcPr>
          <w:p w14:paraId="4B810093">
            <w:pPr>
              <w:pStyle w:val="14"/>
              <w:jc w:val="center"/>
              <w:rPr>
                <w:rFonts w:ascii="仿宋" w:hAnsi="仿宋" w:eastAsia="仿宋" w:cs="仿宋"/>
                <w:b/>
                <w:bCs/>
                <w:szCs w:val="21"/>
              </w:rPr>
            </w:pPr>
            <w:r>
              <w:rPr>
                <w:rFonts w:hint="eastAsia" w:ascii="仿宋" w:hAnsi="仿宋" w:eastAsia="仿宋" w:cs="仿宋"/>
                <w:b/>
                <w:bCs/>
                <w:szCs w:val="21"/>
              </w:rPr>
              <w:t>来源</w:t>
            </w:r>
          </w:p>
        </w:tc>
        <w:tc>
          <w:tcPr>
            <w:tcW w:w="436" w:type="pct"/>
            <w:vAlign w:val="center"/>
          </w:tcPr>
          <w:p w14:paraId="3D869761">
            <w:pPr>
              <w:pStyle w:val="14"/>
              <w:jc w:val="center"/>
              <w:rPr>
                <w:rFonts w:ascii="仿宋" w:hAnsi="仿宋" w:eastAsia="仿宋" w:cs="仿宋"/>
                <w:b/>
                <w:bCs/>
                <w:szCs w:val="21"/>
              </w:rPr>
            </w:pPr>
            <w:r>
              <w:rPr>
                <w:rFonts w:hint="eastAsia" w:ascii="仿宋" w:hAnsi="仿宋" w:eastAsia="仿宋" w:cs="仿宋"/>
                <w:b/>
                <w:bCs/>
                <w:szCs w:val="21"/>
              </w:rPr>
              <w:t>类别</w:t>
            </w:r>
          </w:p>
        </w:tc>
        <w:tc>
          <w:tcPr>
            <w:tcW w:w="833" w:type="pct"/>
            <w:vAlign w:val="center"/>
          </w:tcPr>
          <w:p w14:paraId="41198D24">
            <w:pPr>
              <w:pStyle w:val="14"/>
              <w:jc w:val="center"/>
              <w:rPr>
                <w:rFonts w:ascii="仿宋" w:hAnsi="仿宋" w:eastAsia="仿宋" w:cs="仿宋"/>
                <w:b/>
                <w:bCs/>
                <w:szCs w:val="21"/>
              </w:rPr>
            </w:pPr>
            <w:r>
              <w:rPr>
                <w:rFonts w:hint="eastAsia" w:ascii="仿宋" w:hAnsi="仿宋" w:eastAsia="仿宋" w:cs="仿宋"/>
                <w:b/>
                <w:bCs/>
                <w:szCs w:val="21"/>
              </w:rPr>
              <w:t>起讫时间</w:t>
            </w:r>
          </w:p>
        </w:tc>
        <w:tc>
          <w:tcPr>
            <w:tcW w:w="649" w:type="pct"/>
            <w:vAlign w:val="center"/>
          </w:tcPr>
          <w:p w14:paraId="065A3F2F">
            <w:pPr>
              <w:pStyle w:val="14"/>
              <w:jc w:val="center"/>
              <w:rPr>
                <w:rFonts w:ascii="仿宋" w:hAnsi="仿宋" w:eastAsia="仿宋" w:cs="仿宋"/>
                <w:b/>
                <w:bCs/>
                <w:szCs w:val="21"/>
              </w:rPr>
            </w:pPr>
            <w:r>
              <w:rPr>
                <w:rFonts w:hint="eastAsia" w:ascii="仿宋" w:hAnsi="仿宋" w:eastAsia="仿宋" w:cs="仿宋"/>
                <w:b/>
                <w:bCs/>
                <w:szCs w:val="21"/>
              </w:rPr>
              <w:t>负责人</w:t>
            </w:r>
          </w:p>
        </w:tc>
        <w:tc>
          <w:tcPr>
            <w:tcW w:w="743" w:type="pct"/>
            <w:vAlign w:val="center"/>
          </w:tcPr>
          <w:p w14:paraId="692645AE">
            <w:pPr>
              <w:pStyle w:val="14"/>
              <w:jc w:val="center"/>
              <w:rPr>
                <w:rFonts w:ascii="仿宋" w:hAnsi="仿宋" w:eastAsia="仿宋" w:cs="仿宋"/>
                <w:b/>
                <w:bCs/>
                <w:spacing w:val="-4"/>
                <w:w w:val="95"/>
                <w:szCs w:val="21"/>
              </w:rPr>
            </w:pPr>
            <w:r>
              <w:rPr>
                <w:rFonts w:hint="eastAsia" w:ascii="仿宋" w:hAnsi="仿宋" w:eastAsia="仿宋" w:cs="仿宋"/>
                <w:b/>
                <w:bCs/>
                <w:spacing w:val="-4"/>
                <w:w w:val="95"/>
                <w:szCs w:val="21"/>
              </w:rPr>
              <w:t>到账经费</w:t>
            </w:r>
          </w:p>
          <w:p w14:paraId="25D3F32C">
            <w:pPr>
              <w:pStyle w:val="14"/>
              <w:jc w:val="center"/>
              <w:rPr>
                <w:rFonts w:ascii="仿宋" w:hAnsi="仿宋" w:eastAsia="仿宋" w:cs="仿宋"/>
                <w:b/>
                <w:bCs/>
                <w:szCs w:val="21"/>
              </w:rPr>
            </w:pPr>
            <w:r>
              <w:rPr>
                <w:rFonts w:hint="eastAsia" w:ascii="仿宋" w:hAnsi="仿宋" w:eastAsia="仿宋" w:cs="仿宋"/>
                <w:b/>
                <w:bCs/>
                <w:w w:val="95"/>
                <w:szCs w:val="21"/>
              </w:rPr>
              <w:t>（万元）</w:t>
            </w:r>
          </w:p>
        </w:tc>
      </w:tr>
      <w:tr w14:paraId="1FC6A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0" w:hRule="atLeast"/>
          <w:jc w:val="center"/>
        </w:trPr>
        <w:tc>
          <w:tcPr>
            <w:tcW w:w="282" w:type="pct"/>
            <w:vAlign w:val="center"/>
          </w:tcPr>
          <w:p w14:paraId="494CF16A">
            <w:pPr>
              <w:pStyle w:val="14"/>
              <w:jc w:val="center"/>
              <w:rPr>
                <w:rFonts w:ascii="仿宋" w:hAnsi="仿宋" w:eastAsia="仿宋" w:cs="仿宋"/>
                <w:w w:val="99"/>
              </w:rPr>
            </w:pPr>
            <w:r>
              <w:rPr>
                <w:rFonts w:hint="eastAsia" w:ascii="仿宋" w:hAnsi="仿宋" w:eastAsia="仿宋" w:cs="仿宋"/>
                <w:w w:val="99"/>
              </w:rPr>
              <w:t>1</w:t>
            </w:r>
          </w:p>
        </w:tc>
        <w:tc>
          <w:tcPr>
            <w:tcW w:w="1116" w:type="pct"/>
            <w:vAlign w:val="center"/>
          </w:tcPr>
          <w:p w14:paraId="76209A84">
            <w:pPr>
              <w:jc w:val="center"/>
              <w:rPr>
                <w:rFonts w:ascii="仿宋" w:hAnsi="仿宋" w:eastAsia="仿宋" w:cs="仿宋"/>
              </w:rPr>
            </w:pPr>
            <w:r>
              <w:rPr>
                <w:rFonts w:hint="eastAsia" w:ascii="仿宋" w:hAnsi="仿宋" w:eastAsia="仿宋" w:cs="仿宋"/>
              </w:rPr>
              <w:t>基于生物锰氧化和生物脱氮过程的有机微污染物降解机制与工艺原理</w:t>
            </w:r>
          </w:p>
          <w:p w14:paraId="6D1C9C9F">
            <w:pPr>
              <w:pStyle w:val="14"/>
              <w:jc w:val="center"/>
              <w:rPr>
                <w:rFonts w:ascii="仿宋" w:hAnsi="仿宋" w:eastAsia="仿宋" w:cs="仿宋"/>
                <w:bCs/>
              </w:rPr>
            </w:pPr>
          </w:p>
        </w:tc>
        <w:tc>
          <w:tcPr>
            <w:tcW w:w="939" w:type="pct"/>
            <w:vAlign w:val="center"/>
          </w:tcPr>
          <w:p w14:paraId="5DA4F00C">
            <w:pPr>
              <w:pStyle w:val="14"/>
              <w:jc w:val="center"/>
              <w:rPr>
                <w:rFonts w:ascii="仿宋" w:hAnsi="仿宋" w:eastAsia="仿宋" w:cs="仿宋"/>
                <w:sz w:val="20"/>
              </w:rPr>
            </w:pPr>
            <w:r>
              <w:rPr>
                <w:rFonts w:hint="eastAsia" w:ascii="仿宋" w:hAnsi="仿宋" w:eastAsia="仿宋" w:cs="仿宋"/>
              </w:rPr>
              <w:t>国家自然科学基金</w:t>
            </w:r>
          </w:p>
        </w:tc>
        <w:tc>
          <w:tcPr>
            <w:tcW w:w="436" w:type="pct"/>
            <w:vAlign w:val="center"/>
          </w:tcPr>
          <w:p w14:paraId="4731A7BC">
            <w:pPr>
              <w:pStyle w:val="14"/>
              <w:jc w:val="center"/>
              <w:rPr>
                <w:rFonts w:ascii="仿宋" w:hAnsi="仿宋" w:eastAsia="仿宋" w:cs="仿宋"/>
                <w:sz w:val="20"/>
              </w:rPr>
            </w:pPr>
            <w:r>
              <w:rPr>
                <w:rFonts w:hint="eastAsia" w:ascii="仿宋" w:hAnsi="仿宋" w:eastAsia="仿宋" w:cs="仿宋"/>
                <w:sz w:val="20"/>
              </w:rPr>
              <w:t>面上项目</w:t>
            </w:r>
          </w:p>
        </w:tc>
        <w:tc>
          <w:tcPr>
            <w:tcW w:w="833" w:type="pct"/>
            <w:vAlign w:val="center"/>
          </w:tcPr>
          <w:p w14:paraId="37D7EEED">
            <w:pPr>
              <w:pStyle w:val="14"/>
              <w:jc w:val="center"/>
              <w:rPr>
                <w:rFonts w:ascii="仿宋" w:hAnsi="仿宋" w:eastAsia="仿宋" w:cs="仿宋"/>
                <w:sz w:val="20"/>
              </w:rPr>
            </w:pPr>
            <w:r>
              <w:rPr>
                <w:rFonts w:hint="eastAsia" w:ascii="仿宋" w:hAnsi="仿宋" w:eastAsia="仿宋" w:cs="仿宋"/>
              </w:rPr>
              <w:t>2021-2024</w:t>
            </w:r>
          </w:p>
        </w:tc>
        <w:tc>
          <w:tcPr>
            <w:tcW w:w="649" w:type="pct"/>
            <w:vAlign w:val="center"/>
          </w:tcPr>
          <w:p w14:paraId="61B75AF4">
            <w:pPr>
              <w:pStyle w:val="14"/>
              <w:jc w:val="center"/>
              <w:rPr>
                <w:rFonts w:ascii="仿宋" w:hAnsi="仿宋" w:eastAsia="仿宋" w:cs="仿宋"/>
                <w:sz w:val="20"/>
              </w:rPr>
            </w:pPr>
            <w:r>
              <w:rPr>
                <w:rFonts w:hint="eastAsia" w:ascii="仿宋" w:hAnsi="仿宋" w:eastAsia="仿宋" w:cs="仿宋"/>
                <w:sz w:val="20"/>
              </w:rPr>
              <w:t>王洪杰</w:t>
            </w:r>
          </w:p>
        </w:tc>
        <w:tc>
          <w:tcPr>
            <w:tcW w:w="743" w:type="pct"/>
            <w:vAlign w:val="center"/>
          </w:tcPr>
          <w:p w14:paraId="6E85BBA6">
            <w:pPr>
              <w:pStyle w:val="14"/>
              <w:jc w:val="center"/>
              <w:rPr>
                <w:rFonts w:ascii="仿宋" w:hAnsi="仿宋" w:eastAsia="仿宋" w:cs="仿宋"/>
                <w:sz w:val="20"/>
              </w:rPr>
            </w:pPr>
            <w:r>
              <w:rPr>
                <w:rFonts w:hint="eastAsia" w:ascii="仿宋" w:hAnsi="仿宋" w:eastAsia="仿宋" w:cs="仿宋"/>
                <w:szCs w:val="21"/>
              </w:rPr>
              <w:t>58</w:t>
            </w:r>
          </w:p>
        </w:tc>
      </w:tr>
      <w:tr w14:paraId="673A6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0" w:hRule="atLeast"/>
          <w:jc w:val="center"/>
        </w:trPr>
        <w:tc>
          <w:tcPr>
            <w:tcW w:w="282" w:type="pct"/>
            <w:vAlign w:val="center"/>
          </w:tcPr>
          <w:p w14:paraId="6EF1C602">
            <w:pPr>
              <w:pStyle w:val="14"/>
              <w:jc w:val="center"/>
              <w:rPr>
                <w:rFonts w:ascii="仿宋" w:hAnsi="仿宋" w:eastAsia="仿宋" w:cs="仿宋"/>
              </w:rPr>
            </w:pPr>
            <w:r>
              <w:rPr>
                <w:rFonts w:hint="eastAsia" w:ascii="仿宋" w:hAnsi="仿宋" w:eastAsia="仿宋" w:cs="仿宋"/>
                <w:w w:val="99"/>
              </w:rPr>
              <w:t>2</w:t>
            </w:r>
          </w:p>
        </w:tc>
        <w:tc>
          <w:tcPr>
            <w:tcW w:w="1116" w:type="pct"/>
            <w:vAlign w:val="center"/>
          </w:tcPr>
          <w:p w14:paraId="674EF30F">
            <w:pPr>
              <w:pStyle w:val="14"/>
              <w:jc w:val="center"/>
              <w:rPr>
                <w:rFonts w:ascii="仿宋" w:hAnsi="仿宋" w:eastAsia="仿宋" w:cs="仿宋"/>
                <w:szCs w:val="21"/>
              </w:rPr>
            </w:pPr>
            <w:r>
              <w:rPr>
                <w:rFonts w:hint="eastAsia" w:ascii="仿宋" w:hAnsi="仿宋" w:eastAsia="仿宋" w:cs="仿宋"/>
              </w:rPr>
              <w:t>白洋淀与大清河流域（雄安新区）水生态环境整治与水安全保障关键技术研究与示范</w:t>
            </w:r>
          </w:p>
        </w:tc>
        <w:tc>
          <w:tcPr>
            <w:tcW w:w="939" w:type="pct"/>
            <w:vAlign w:val="center"/>
          </w:tcPr>
          <w:p w14:paraId="255B8A01">
            <w:pPr>
              <w:pStyle w:val="14"/>
              <w:jc w:val="center"/>
              <w:rPr>
                <w:rFonts w:ascii="仿宋" w:hAnsi="仿宋" w:eastAsia="仿宋" w:cs="仿宋"/>
                <w:bCs/>
              </w:rPr>
            </w:pPr>
            <w:r>
              <w:rPr>
                <w:rFonts w:hint="eastAsia" w:ascii="仿宋" w:hAnsi="仿宋" w:eastAsia="仿宋" w:cs="仿宋"/>
                <w:bCs/>
              </w:rPr>
              <w:t>国家水体污染控制与治理科技重大专项</w:t>
            </w:r>
          </w:p>
        </w:tc>
        <w:tc>
          <w:tcPr>
            <w:tcW w:w="436" w:type="pct"/>
            <w:vAlign w:val="center"/>
          </w:tcPr>
          <w:p w14:paraId="0B77A7CE">
            <w:pPr>
              <w:pStyle w:val="14"/>
              <w:jc w:val="center"/>
              <w:rPr>
                <w:rFonts w:ascii="仿宋" w:hAnsi="仿宋" w:eastAsia="仿宋" w:cs="仿宋"/>
                <w:szCs w:val="21"/>
              </w:rPr>
            </w:pPr>
            <w:r>
              <w:rPr>
                <w:rFonts w:hint="eastAsia" w:ascii="仿宋" w:hAnsi="仿宋" w:eastAsia="仿宋" w:cs="仿宋"/>
                <w:szCs w:val="21"/>
              </w:rPr>
              <w:t>项目</w:t>
            </w:r>
          </w:p>
        </w:tc>
        <w:tc>
          <w:tcPr>
            <w:tcW w:w="833" w:type="pct"/>
            <w:vAlign w:val="center"/>
          </w:tcPr>
          <w:p w14:paraId="3076F0A4">
            <w:pPr>
              <w:pStyle w:val="14"/>
              <w:jc w:val="center"/>
              <w:rPr>
                <w:rFonts w:ascii="仿宋" w:hAnsi="仿宋" w:eastAsia="仿宋" w:cs="仿宋"/>
                <w:szCs w:val="21"/>
              </w:rPr>
            </w:pPr>
            <w:r>
              <w:rPr>
                <w:rFonts w:hint="eastAsia" w:ascii="仿宋" w:hAnsi="仿宋" w:eastAsia="仿宋" w:cs="仿宋"/>
                <w:szCs w:val="21"/>
              </w:rPr>
              <w:t>2018-2021</w:t>
            </w:r>
          </w:p>
        </w:tc>
        <w:tc>
          <w:tcPr>
            <w:tcW w:w="649" w:type="pct"/>
            <w:vAlign w:val="center"/>
          </w:tcPr>
          <w:p w14:paraId="1ACECFBD">
            <w:pPr>
              <w:pStyle w:val="14"/>
              <w:jc w:val="center"/>
              <w:rPr>
                <w:rFonts w:ascii="仿宋" w:hAnsi="仿宋" w:eastAsia="仿宋" w:cs="仿宋"/>
                <w:sz w:val="20"/>
              </w:rPr>
            </w:pPr>
            <w:r>
              <w:rPr>
                <w:rFonts w:hint="eastAsia" w:ascii="仿宋" w:hAnsi="仿宋" w:eastAsia="仿宋" w:cs="仿宋"/>
                <w:sz w:val="20"/>
              </w:rPr>
              <w:t>王洪杰</w:t>
            </w:r>
          </w:p>
        </w:tc>
        <w:tc>
          <w:tcPr>
            <w:tcW w:w="743" w:type="pct"/>
            <w:vAlign w:val="center"/>
          </w:tcPr>
          <w:p w14:paraId="35D07F5D">
            <w:pPr>
              <w:pStyle w:val="14"/>
              <w:jc w:val="center"/>
              <w:rPr>
                <w:rFonts w:ascii="仿宋" w:hAnsi="仿宋" w:eastAsia="仿宋" w:cs="仿宋"/>
                <w:sz w:val="20"/>
              </w:rPr>
            </w:pPr>
            <w:r>
              <w:rPr>
                <w:rFonts w:hint="eastAsia" w:ascii="仿宋" w:hAnsi="仿宋" w:eastAsia="仿宋" w:cs="仿宋"/>
                <w:szCs w:val="21"/>
              </w:rPr>
              <w:t>1095</w:t>
            </w:r>
          </w:p>
        </w:tc>
      </w:tr>
      <w:tr w14:paraId="6E3A9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0" w:hRule="atLeast"/>
          <w:jc w:val="center"/>
        </w:trPr>
        <w:tc>
          <w:tcPr>
            <w:tcW w:w="282" w:type="pct"/>
            <w:vAlign w:val="center"/>
          </w:tcPr>
          <w:p w14:paraId="20FB0A2E">
            <w:pPr>
              <w:pStyle w:val="14"/>
              <w:jc w:val="center"/>
              <w:rPr>
                <w:rFonts w:ascii="仿宋" w:hAnsi="仿宋" w:eastAsia="仿宋" w:cs="仿宋"/>
                <w:w w:val="99"/>
              </w:rPr>
            </w:pPr>
            <w:r>
              <w:rPr>
                <w:rFonts w:hint="eastAsia" w:ascii="仿宋" w:hAnsi="仿宋" w:eastAsia="仿宋" w:cs="仿宋"/>
                <w:w w:val="99"/>
              </w:rPr>
              <w:t>3</w:t>
            </w:r>
          </w:p>
        </w:tc>
        <w:tc>
          <w:tcPr>
            <w:tcW w:w="1116" w:type="pct"/>
            <w:vAlign w:val="center"/>
          </w:tcPr>
          <w:p w14:paraId="7C4E2036">
            <w:pPr>
              <w:pStyle w:val="14"/>
              <w:jc w:val="center"/>
              <w:rPr>
                <w:rFonts w:ascii="仿宋" w:hAnsi="仿宋" w:eastAsia="仿宋" w:cs="仿宋"/>
              </w:rPr>
            </w:pPr>
            <w:r>
              <w:rPr>
                <w:rFonts w:hint="eastAsia" w:ascii="仿宋" w:hAnsi="仿宋" w:eastAsia="仿宋" w:cs="仿宋"/>
              </w:rPr>
              <w:t>基于尾水碳源异养反硝化和硫自养反硝化过程的协同脱氮机制研究</w:t>
            </w:r>
          </w:p>
        </w:tc>
        <w:tc>
          <w:tcPr>
            <w:tcW w:w="939" w:type="pct"/>
            <w:vAlign w:val="center"/>
          </w:tcPr>
          <w:p w14:paraId="1719D09D">
            <w:pPr>
              <w:pStyle w:val="14"/>
              <w:jc w:val="center"/>
              <w:rPr>
                <w:rFonts w:ascii="仿宋" w:hAnsi="仿宋" w:eastAsia="仿宋" w:cs="仿宋"/>
              </w:rPr>
            </w:pPr>
            <w:r>
              <w:rPr>
                <w:rFonts w:hint="eastAsia" w:ascii="仿宋" w:hAnsi="仿宋" w:eastAsia="仿宋" w:cs="仿宋"/>
              </w:rPr>
              <w:t>国家自然科学基金</w:t>
            </w:r>
          </w:p>
        </w:tc>
        <w:tc>
          <w:tcPr>
            <w:tcW w:w="436" w:type="pct"/>
            <w:vAlign w:val="center"/>
          </w:tcPr>
          <w:p w14:paraId="29248C6E">
            <w:pPr>
              <w:pStyle w:val="14"/>
              <w:jc w:val="center"/>
              <w:rPr>
                <w:rFonts w:ascii="仿宋" w:hAnsi="仿宋" w:eastAsia="仿宋" w:cs="仿宋"/>
              </w:rPr>
            </w:pPr>
            <w:r>
              <w:rPr>
                <w:rFonts w:hint="eastAsia" w:ascii="仿宋" w:hAnsi="仿宋" w:eastAsia="仿宋" w:cs="仿宋"/>
              </w:rPr>
              <w:t>面上项目</w:t>
            </w:r>
          </w:p>
        </w:tc>
        <w:tc>
          <w:tcPr>
            <w:tcW w:w="833" w:type="pct"/>
            <w:vAlign w:val="center"/>
          </w:tcPr>
          <w:p w14:paraId="12584B4E">
            <w:pPr>
              <w:pStyle w:val="14"/>
              <w:jc w:val="center"/>
              <w:rPr>
                <w:rFonts w:ascii="仿宋" w:hAnsi="仿宋" w:eastAsia="仿宋" w:cs="仿宋"/>
              </w:rPr>
            </w:pPr>
            <w:r>
              <w:rPr>
                <w:rFonts w:hint="eastAsia" w:ascii="仿宋" w:hAnsi="仿宋" w:eastAsia="仿宋" w:cs="仿宋"/>
              </w:rPr>
              <w:t>2018-2021</w:t>
            </w:r>
          </w:p>
        </w:tc>
        <w:tc>
          <w:tcPr>
            <w:tcW w:w="649" w:type="pct"/>
            <w:vAlign w:val="center"/>
          </w:tcPr>
          <w:p w14:paraId="5B0BB7E9">
            <w:pPr>
              <w:pStyle w:val="14"/>
              <w:jc w:val="center"/>
              <w:rPr>
                <w:rFonts w:ascii="仿宋" w:hAnsi="仿宋" w:eastAsia="仿宋" w:cs="仿宋"/>
                <w:szCs w:val="21"/>
              </w:rPr>
            </w:pPr>
            <w:r>
              <w:rPr>
                <w:rFonts w:hint="eastAsia" w:ascii="仿宋" w:hAnsi="仿宋" w:eastAsia="仿宋" w:cs="仿宋"/>
                <w:szCs w:val="21"/>
              </w:rPr>
              <w:t>王洪杰</w:t>
            </w:r>
          </w:p>
        </w:tc>
        <w:tc>
          <w:tcPr>
            <w:tcW w:w="743" w:type="pct"/>
            <w:vAlign w:val="center"/>
          </w:tcPr>
          <w:p w14:paraId="56266EEE">
            <w:pPr>
              <w:pStyle w:val="14"/>
              <w:jc w:val="center"/>
              <w:rPr>
                <w:rFonts w:ascii="仿宋" w:hAnsi="仿宋" w:eastAsia="仿宋" w:cs="仿宋"/>
                <w:szCs w:val="21"/>
              </w:rPr>
            </w:pPr>
            <w:r>
              <w:rPr>
                <w:rFonts w:hint="eastAsia" w:ascii="仿宋" w:hAnsi="仿宋" w:eastAsia="仿宋" w:cs="仿宋"/>
                <w:szCs w:val="21"/>
              </w:rPr>
              <w:t>60</w:t>
            </w:r>
          </w:p>
        </w:tc>
      </w:tr>
      <w:bookmarkEnd w:id="0"/>
      <w:tr w14:paraId="21571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0" w:hRule="atLeast"/>
          <w:jc w:val="center"/>
        </w:trPr>
        <w:tc>
          <w:tcPr>
            <w:tcW w:w="282" w:type="pct"/>
            <w:vAlign w:val="center"/>
          </w:tcPr>
          <w:p w14:paraId="504BD45D">
            <w:pPr>
              <w:pStyle w:val="14"/>
              <w:jc w:val="center"/>
              <w:rPr>
                <w:rFonts w:ascii="仿宋" w:hAnsi="仿宋" w:eastAsia="仿宋" w:cs="仿宋"/>
              </w:rPr>
            </w:pPr>
            <w:r>
              <w:rPr>
                <w:rFonts w:hint="eastAsia" w:ascii="仿宋" w:hAnsi="仿宋" w:eastAsia="仿宋" w:cs="仿宋"/>
              </w:rPr>
              <w:t>4</w:t>
            </w:r>
          </w:p>
        </w:tc>
        <w:tc>
          <w:tcPr>
            <w:tcW w:w="1116" w:type="pct"/>
            <w:vAlign w:val="center"/>
          </w:tcPr>
          <w:p w14:paraId="072E3009">
            <w:pPr>
              <w:pStyle w:val="14"/>
              <w:jc w:val="center"/>
              <w:rPr>
                <w:rFonts w:ascii="仿宋" w:hAnsi="仿宋" w:eastAsia="仿宋" w:cs="仿宋"/>
                <w:sz w:val="20"/>
              </w:rPr>
            </w:pPr>
            <w:r>
              <w:rPr>
                <w:rFonts w:hint="eastAsia" w:ascii="仿宋" w:hAnsi="仿宋" w:eastAsia="仿宋" w:cs="仿宋"/>
              </w:rPr>
              <w:t>微空腔雾化放电对PM2.5污染控制的实验研究（51777051）</w:t>
            </w:r>
          </w:p>
        </w:tc>
        <w:tc>
          <w:tcPr>
            <w:tcW w:w="939" w:type="pct"/>
            <w:vAlign w:val="center"/>
          </w:tcPr>
          <w:p w14:paraId="02C91B6F">
            <w:pPr>
              <w:pStyle w:val="14"/>
              <w:jc w:val="center"/>
              <w:rPr>
                <w:rFonts w:ascii="仿宋" w:hAnsi="仿宋" w:eastAsia="仿宋" w:cs="仿宋"/>
                <w:sz w:val="20"/>
              </w:rPr>
            </w:pPr>
            <w:r>
              <w:rPr>
                <w:rFonts w:hint="eastAsia" w:ascii="仿宋" w:hAnsi="仿宋" w:eastAsia="仿宋" w:cs="仿宋"/>
                <w:szCs w:val="21"/>
              </w:rPr>
              <w:t>国家自然科学基金</w:t>
            </w:r>
          </w:p>
        </w:tc>
        <w:tc>
          <w:tcPr>
            <w:tcW w:w="436" w:type="pct"/>
            <w:vAlign w:val="center"/>
          </w:tcPr>
          <w:p w14:paraId="16B5AE36">
            <w:pPr>
              <w:pStyle w:val="14"/>
              <w:jc w:val="center"/>
              <w:rPr>
                <w:rFonts w:ascii="仿宋" w:hAnsi="仿宋" w:eastAsia="仿宋" w:cs="仿宋"/>
                <w:sz w:val="20"/>
              </w:rPr>
            </w:pPr>
            <w:r>
              <w:rPr>
                <w:rFonts w:hint="eastAsia" w:ascii="仿宋" w:hAnsi="仿宋" w:eastAsia="仿宋" w:cs="仿宋"/>
              </w:rPr>
              <w:t>面上项目</w:t>
            </w:r>
          </w:p>
        </w:tc>
        <w:tc>
          <w:tcPr>
            <w:tcW w:w="833" w:type="pct"/>
            <w:vAlign w:val="center"/>
          </w:tcPr>
          <w:p w14:paraId="1B6A2530">
            <w:pPr>
              <w:pStyle w:val="14"/>
              <w:jc w:val="center"/>
              <w:rPr>
                <w:rFonts w:ascii="仿宋" w:hAnsi="仿宋" w:eastAsia="仿宋" w:cs="仿宋"/>
                <w:sz w:val="20"/>
              </w:rPr>
            </w:pPr>
            <w:r>
              <w:rPr>
                <w:rFonts w:hint="eastAsia" w:ascii="仿宋" w:hAnsi="仿宋" w:eastAsia="仿宋" w:cs="仿宋"/>
              </w:rPr>
              <w:t>2018-2022</w:t>
            </w:r>
          </w:p>
        </w:tc>
        <w:tc>
          <w:tcPr>
            <w:tcW w:w="649" w:type="pct"/>
            <w:vAlign w:val="center"/>
          </w:tcPr>
          <w:p w14:paraId="0798D107">
            <w:pPr>
              <w:pStyle w:val="14"/>
              <w:jc w:val="center"/>
              <w:rPr>
                <w:rFonts w:ascii="仿宋" w:hAnsi="仿宋" w:eastAsia="仿宋" w:cs="仿宋"/>
                <w:sz w:val="20"/>
              </w:rPr>
            </w:pPr>
            <w:r>
              <w:rPr>
                <w:rFonts w:hint="eastAsia" w:ascii="仿宋" w:hAnsi="仿宋" w:eastAsia="仿宋" w:cs="仿宋"/>
                <w:sz w:val="20"/>
              </w:rPr>
              <w:t>李  庆</w:t>
            </w:r>
          </w:p>
        </w:tc>
        <w:tc>
          <w:tcPr>
            <w:tcW w:w="743" w:type="pct"/>
            <w:vAlign w:val="center"/>
          </w:tcPr>
          <w:p w14:paraId="58B7F576">
            <w:pPr>
              <w:pStyle w:val="14"/>
              <w:jc w:val="center"/>
              <w:rPr>
                <w:rFonts w:ascii="仿宋" w:hAnsi="仿宋" w:eastAsia="仿宋" w:cs="仿宋"/>
                <w:sz w:val="20"/>
              </w:rPr>
            </w:pPr>
            <w:r>
              <w:rPr>
                <w:rFonts w:hint="eastAsia" w:ascii="仿宋" w:hAnsi="仿宋" w:eastAsia="仿宋" w:cs="仿宋"/>
              </w:rPr>
              <w:t>60</w:t>
            </w:r>
          </w:p>
        </w:tc>
      </w:tr>
      <w:tr w14:paraId="51A72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282" w:type="pct"/>
            <w:vAlign w:val="center"/>
          </w:tcPr>
          <w:p w14:paraId="38BE90BA">
            <w:pPr>
              <w:pStyle w:val="14"/>
              <w:jc w:val="center"/>
              <w:rPr>
                <w:rFonts w:ascii="仿宋" w:hAnsi="仿宋" w:eastAsia="仿宋" w:cs="仿宋"/>
              </w:rPr>
            </w:pPr>
            <w:r>
              <w:rPr>
                <w:rFonts w:hint="eastAsia" w:ascii="仿宋" w:hAnsi="仿宋" w:eastAsia="仿宋" w:cs="仿宋"/>
              </w:rPr>
              <w:t>5</w:t>
            </w:r>
          </w:p>
        </w:tc>
        <w:tc>
          <w:tcPr>
            <w:tcW w:w="1116" w:type="pct"/>
            <w:vAlign w:val="center"/>
          </w:tcPr>
          <w:p w14:paraId="52E98179">
            <w:pPr>
              <w:jc w:val="center"/>
              <w:rPr>
                <w:rFonts w:ascii="仿宋" w:hAnsi="仿宋" w:eastAsia="仿宋" w:cs="仿宋"/>
              </w:rPr>
            </w:pPr>
            <w:r>
              <w:rPr>
                <w:rFonts w:hint="eastAsia" w:ascii="仿宋" w:hAnsi="仿宋" w:eastAsia="仿宋" w:cs="仿宋"/>
                <w:color w:val="333333"/>
                <w:szCs w:val="21"/>
                <w:shd w:val="clear" w:color="auto" w:fill="FFFFFF"/>
              </w:rPr>
              <w:t>微塑料对设施菜田土壤中镉环境行为的影响及微生物效应研究</w:t>
            </w:r>
          </w:p>
        </w:tc>
        <w:tc>
          <w:tcPr>
            <w:tcW w:w="939" w:type="pct"/>
            <w:vAlign w:val="center"/>
          </w:tcPr>
          <w:p w14:paraId="4DE57EEC">
            <w:pPr>
              <w:jc w:val="center"/>
              <w:rPr>
                <w:rFonts w:ascii="仿宋" w:hAnsi="仿宋" w:eastAsia="仿宋" w:cs="仿宋"/>
              </w:rPr>
            </w:pPr>
            <w:r>
              <w:rPr>
                <w:rFonts w:hint="eastAsia" w:ascii="仿宋" w:hAnsi="仿宋" w:eastAsia="仿宋" w:cs="仿宋"/>
                <w:color w:val="333333"/>
                <w:szCs w:val="21"/>
                <w:shd w:val="clear" w:color="auto" w:fill="FFFFFF"/>
              </w:rPr>
              <w:t>国家自然科学基金</w:t>
            </w:r>
          </w:p>
        </w:tc>
        <w:tc>
          <w:tcPr>
            <w:tcW w:w="436" w:type="pct"/>
            <w:vAlign w:val="center"/>
          </w:tcPr>
          <w:p w14:paraId="73852B0E">
            <w:pPr>
              <w:jc w:val="center"/>
              <w:rPr>
                <w:rFonts w:ascii="仿宋" w:hAnsi="仿宋" w:eastAsia="仿宋" w:cs="仿宋"/>
              </w:rPr>
            </w:pPr>
            <w:r>
              <w:rPr>
                <w:rFonts w:hint="eastAsia" w:ascii="仿宋" w:hAnsi="仿宋" w:eastAsia="仿宋" w:cs="仿宋"/>
                <w:color w:val="333333"/>
                <w:szCs w:val="21"/>
                <w:shd w:val="clear" w:color="auto" w:fill="FFFFFF"/>
              </w:rPr>
              <w:t>面上项目</w:t>
            </w:r>
          </w:p>
        </w:tc>
        <w:tc>
          <w:tcPr>
            <w:tcW w:w="833" w:type="pct"/>
            <w:vAlign w:val="center"/>
          </w:tcPr>
          <w:p w14:paraId="11BEE5BD">
            <w:pPr>
              <w:jc w:val="center"/>
              <w:rPr>
                <w:rFonts w:ascii="仿宋" w:hAnsi="仿宋" w:eastAsia="仿宋" w:cs="仿宋"/>
              </w:rPr>
            </w:pPr>
            <w:r>
              <w:rPr>
                <w:rFonts w:hint="eastAsia" w:ascii="仿宋" w:hAnsi="仿宋" w:eastAsia="仿宋" w:cs="仿宋"/>
                <w:szCs w:val="21"/>
              </w:rPr>
              <w:t>2021-2024</w:t>
            </w:r>
          </w:p>
        </w:tc>
        <w:tc>
          <w:tcPr>
            <w:tcW w:w="649" w:type="pct"/>
            <w:vAlign w:val="center"/>
          </w:tcPr>
          <w:p w14:paraId="099DB8C9">
            <w:pPr>
              <w:pStyle w:val="14"/>
              <w:jc w:val="center"/>
              <w:rPr>
                <w:rFonts w:ascii="仿宋" w:hAnsi="仿宋" w:eastAsia="仿宋" w:cs="仿宋"/>
                <w:sz w:val="20"/>
              </w:rPr>
            </w:pPr>
            <w:r>
              <w:rPr>
                <w:rFonts w:hint="eastAsia" w:ascii="仿宋" w:hAnsi="仿宋" w:eastAsia="仿宋" w:cs="仿宋"/>
                <w:sz w:val="20"/>
              </w:rPr>
              <w:t>刘  薇</w:t>
            </w:r>
          </w:p>
        </w:tc>
        <w:tc>
          <w:tcPr>
            <w:tcW w:w="743" w:type="pct"/>
            <w:vAlign w:val="center"/>
          </w:tcPr>
          <w:p w14:paraId="7D2DB946">
            <w:pPr>
              <w:jc w:val="center"/>
              <w:rPr>
                <w:rFonts w:ascii="仿宋" w:hAnsi="仿宋" w:eastAsia="仿宋" w:cs="仿宋"/>
              </w:rPr>
            </w:pPr>
            <w:r>
              <w:rPr>
                <w:rFonts w:hint="eastAsia" w:ascii="仿宋" w:hAnsi="仿宋" w:eastAsia="仿宋" w:cs="仿宋"/>
                <w:szCs w:val="21"/>
              </w:rPr>
              <w:t>58</w:t>
            </w:r>
          </w:p>
        </w:tc>
      </w:tr>
      <w:tr w14:paraId="3740E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282" w:type="pct"/>
            <w:vAlign w:val="center"/>
          </w:tcPr>
          <w:p w14:paraId="00428E61">
            <w:pPr>
              <w:pStyle w:val="14"/>
              <w:jc w:val="center"/>
              <w:rPr>
                <w:rFonts w:ascii="仿宋" w:hAnsi="仿宋" w:eastAsia="仿宋" w:cs="仿宋"/>
              </w:rPr>
            </w:pPr>
            <w:r>
              <w:rPr>
                <w:rFonts w:hint="eastAsia" w:ascii="仿宋" w:hAnsi="仿宋" w:eastAsia="仿宋" w:cs="仿宋"/>
              </w:rPr>
              <w:t>6</w:t>
            </w:r>
          </w:p>
        </w:tc>
        <w:tc>
          <w:tcPr>
            <w:tcW w:w="1116" w:type="pct"/>
            <w:vAlign w:val="center"/>
          </w:tcPr>
          <w:p w14:paraId="34B574C5">
            <w:pPr>
              <w:jc w:val="center"/>
              <w:rPr>
                <w:rFonts w:ascii="仿宋" w:hAnsi="仿宋" w:eastAsia="仿宋" w:cs="仿宋"/>
              </w:rPr>
            </w:pPr>
            <w:r>
              <w:rPr>
                <w:rFonts w:hint="eastAsia" w:ascii="仿宋" w:hAnsi="仿宋" w:eastAsia="仿宋" w:cs="仿宋"/>
                <w:color w:val="333333"/>
                <w:szCs w:val="21"/>
                <w:shd w:val="clear" w:color="auto" w:fill="FFFFFF"/>
              </w:rPr>
              <w:t>设施土壤重金属根际微界面过程及钝化稳定性机制研究</w:t>
            </w:r>
          </w:p>
        </w:tc>
        <w:tc>
          <w:tcPr>
            <w:tcW w:w="939" w:type="pct"/>
            <w:vAlign w:val="center"/>
          </w:tcPr>
          <w:p w14:paraId="5E8D27C2">
            <w:pPr>
              <w:jc w:val="center"/>
              <w:rPr>
                <w:rFonts w:ascii="仿宋" w:hAnsi="仿宋" w:eastAsia="仿宋" w:cs="仿宋"/>
              </w:rPr>
            </w:pPr>
            <w:r>
              <w:rPr>
                <w:rFonts w:hint="eastAsia" w:ascii="仿宋" w:hAnsi="仿宋" w:eastAsia="仿宋" w:cs="仿宋"/>
                <w:color w:val="333333"/>
                <w:szCs w:val="21"/>
                <w:shd w:val="clear" w:color="auto" w:fill="FFFFFF"/>
              </w:rPr>
              <w:t>河北省自然科学基金</w:t>
            </w:r>
          </w:p>
        </w:tc>
        <w:tc>
          <w:tcPr>
            <w:tcW w:w="436" w:type="pct"/>
            <w:vAlign w:val="center"/>
          </w:tcPr>
          <w:p w14:paraId="436153A5">
            <w:pPr>
              <w:jc w:val="center"/>
              <w:rPr>
                <w:rFonts w:ascii="仿宋" w:hAnsi="仿宋" w:eastAsia="仿宋" w:cs="仿宋"/>
              </w:rPr>
            </w:pPr>
            <w:r>
              <w:rPr>
                <w:rFonts w:hint="eastAsia" w:ascii="仿宋" w:hAnsi="仿宋" w:eastAsia="仿宋" w:cs="仿宋"/>
                <w:szCs w:val="21"/>
              </w:rPr>
              <w:t>杰出青年基金项目</w:t>
            </w:r>
          </w:p>
        </w:tc>
        <w:tc>
          <w:tcPr>
            <w:tcW w:w="833" w:type="pct"/>
            <w:vAlign w:val="center"/>
          </w:tcPr>
          <w:p w14:paraId="5DA4B030">
            <w:pPr>
              <w:jc w:val="center"/>
              <w:rPr>
                <w:rFonts w:ascii="仿宋" w:hAnsi="仿宋" w:eastAsia="仿宋" w:cs="仿宋"/>
              </w:rPr>
            </w:pPr>
            <w:r>
              <w:rPr>
                <w:rFonts w:hint="eastAsia" w:ascii="仿宋" w:hAnsi="仿宋" w:eastAsia="仿宋" w:cs="仿宋"/>
                <w:szCs w:val="21"/>
              </w:rPr>
              <w:t>2019-2021</w:t>
            </w:r>
          </w:p>
        </w:tc>
        <w:tc>
          <w:tcPr>
            <w:tcW w:w="649" w:type="pct"/>
            <w:vAlign w:val="center"/>
          </w:tcPr>
          <w:p w14:paraId="15976066">
            <w:pPr>
              <w:pStyle w:val="14"/>
              <w:jc w:val="center"/>
              <w:rPr>
                <w:rFonts w:ascii="仿宋" w:hAnsi="仿宋" w:eastAsia="仿宋" w:cs="仿宋"/>
                <w:sz w:val="20"/>
              </w:rPr>
            </w:pPr>
            <w:r>
              <w:rPr>
                <w:rFonts w:hint="eastAsia" w:ascii="仿宋" w:hAnsi="仿宋" w:eastAsia="仿宋" w:cs="仿宋"/>
                <w:sz w:val="20"/>
              </w:rPr>
              <w:t>刘  薇</w:t>
            </w:r>
          </w:p>
        </w:tc>
        <w:tc>
          <w:tcPr>
            <w:tcW w:w="743" w:type="pct"/>
            <w:vAlign w:val="center"/>
          </w:tcPr>
          <w:p w14:paraId="7C4F8AAF">
            <w:pPr>
              <w:jc w:val="center"/>
              <w:rPr>
                <w:rFonts w:ascii="仿宋" w:hAnsi="仿宋" w:eastAsia="仿宋" w:cs="仿宋"/>
              </w:rPr>
            </w:pPr>
            <w:r>
              <w:rPr>
                <w:rFonts w:hint="eastAsia" w:ascii="仿宋" w:hAnsi="仿宋" w:eastAsia="仿宋" w:cs="仿宋"/>
                <w:szCs w:val="21"/>
              </w:rPr>
              <w:t>50</w:t>
            </w:r>
          </w:p>
        </w:tc>
      </w:tr>
      <w:tr w14:paraId="7D70D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0" w:hRule="atLeast"/>
          <w:jc w:val="center"/>
        </w:trPr>
        <w:tc>
          <w:tcPr>
            <w:tcW w:w="282" w:type="pct"/>
            <w:vAlign w:val="center"/>
          </w:tcPr>
          <w:p w14:paraId="14A9FE4C">
            <w:pPr>
              <w:pStyle w:val="14"/>
              <w:jc w:val="center"/>
              <w:rPr>
                <w:rFonts w:ascii="仿宋" w:hAnsi="仿宋" w:eastAsia="仿宋" w:cs="仿宋"/>
              </w:rPr>
            </w:pPr>
            <w:r>
              <w:rPr>
                <w:rFonts w:hint="eastAsia" w:ascii="仿宋" w:hAnsi="仿宋" w:eastAsia="仿宋" w:cs="仿宋"/>
              </w:rPr>
              <w:t>7</w:t>
            </w:r>
          </w:p>
        </w:tc>
        <w:tc>
          <w:tcPr>
            <w:tcW w:w="1116" w:type="pct"/>
            <w:vAlign w:val="center"/>
          </w:tcPr>
          <w:p w14:paraId="66F4858B">
            <w:pPr>
              <w:pStyle w:val="14"/>
              <w:jc w:val="center"/>
              <w:rPr>
                <w:rFonts w:ascii="仿宋" w:hAnsi="仿宋" w:eastAsia="仿宋" w:cs="仿宋"/>
                <w:szCs w:val="21"/>
              </w:rPr>
            </w:pPr>
            <w:r>
              <w:rPr>
                <w:rFonts w:hint="eastAsia" w:ascii="仿宋" w:hAnsi="仿宋" w:eastAsia="仿宋" w:cs="仿宋"/>
                <w:szCs w:val="21"/>
              </w:rPr>
              <w:t>基于强化脱盐CDI-EDI组合工艺的蓄电池废水资源化研究（E2020201036）</w:t>
            </w:r>
          </w:p>
        </w:tc>
        <w:tc>
          <w:tcPr>
            <w:tcW w:w="939" w:type="pct"/>
            <w:vAlign w:val="center"/>
          </w:tcPr>
          <w:p w14:paraId="72E97FA0">
            <w:pPr>
              <w:pStyle w:val="14"/>
              <w:jc w:val="center"/>
              <w:rPr>
                <w:rFonts w:ascii="仿宋" w:hAnsi="仿宋" w:eastAsia="仿宋" w:cs="仿宋"/>
                <w:szCs w:val="21"/>
              </w:rPr>
            </w:pPr>
            <w:r>
              <w:rPr>
                <w:rFonts w:hint="eastAsia" w:ascii="仿宋" w:hAnsi="仿宋" w:eastAsia="仿宋" w:cs="仿宋"/>
                <w:szCs w:val="21"/>
              </w:rPr>
              <w:t>河北省自然科学基金</w:t>
            </w:r>
          </w:p>
        </w:tc>
        <w:tc>
          <w:tcPr>
            <w:tcW w:w="436" w:type="pct"/>
            <w:vAlign w:val="center"/>
          </w:tcPr>
          <w:p w14:paraId="54B6CFB7">
            <w:pPr>
              <w:pStyle w:val="14"/>
              <w:jc w:val="center"/>
              <w:rPr>
                <w:rFonts w:ascii="仿宋" w:hAnsi="仿宋" w:eastAsia="仿宋" w:cs="仿宋"/>
                <w:szCs w:val="21"/>
              </w:rPr>
            </w:pPr>
            <w:r>
              <w:rPr>
                <w:rFonts w:hint="eastAsia" w:ascii="仿宋" w:hAnsi="仿宋" w:eastAsia="仿宋" w:cs="仿宋"/>
                <w:szCs w:val="21"/>
              </w:rPr>
              <w:t>面目项目</w:t>
            </w:r>
          </w:p>
        </w:tc>
        <w:tc>
          <w:tcPr>
            <w:tcW w:w="833" w:type="pct"/>
            <w:vAlign w:val="center"/>
          </w:tcPr>
          <w:p w14:paraId="1F4B32DC">
            <w:pPr>
              <w:pStyle w:val="14"/>
              <w:jc w:val="center"/>
              <w:rPr>
                <w:rFonts w:ascii="仿宋" w:hAnsi="仿宋" w:eastAsia="仿宋" w:cs="仿宋"/>
                <w:szCs w:val="21"/>
              </w:rPr>
            </w:pPr>
            <w:r>
              <w:rPr>
                <w:rFonts w:hint="eastAsia" w:ascii="仿宋" w:hAnsi="仿宋" w:eastAsia="仿宋" w:cs="仿宋"/>
                <w:szCs w:val="21"/>
              </w:rPr>
              <w:t>2020-2022</w:t>
            </w:r>
          </w:p>
        </w:tc>
        <w:tc>
          <w:tcPr>
            <w:tcW w:w="649" w:type="pct"/>
            <w:vAlign w:val="center"/>
          </w:tcPr>
          <w:p w14:paraId="5015FFF3">
            <w:pPr>
              <w:pStyle w:val="14"/>
              <w:jc w:val="center"/>
              <w:rPr>
                <w:rFonts w:ascii="仿宋" w:hAnsi="仿宋" w:eastAsia="仿宋" w:cs="仿宋"/>
                <w:sz w:val="20"/>
              </w:rPr>
            </w:pPr>
            <w:r>
              <w:rPr>
                <w:rFonts w:hint="eastAsia" w:ascii="仿宋" w:hAnsi="仿宋" w:eastAsia="仿宋" w:cs="仿宋"/>
                <w:sz w:val="20"/>
              </w:rPr>
              <w:t>赵春霞</w:t>
            </w:r>
          </w:p>
        </w:tc>
        <w:tc>
          <w:tcPr>
            <w:tcW w:w="743" w:type="pct"/>
            <w:vAlign w:val="center"/>
          </w:tcPr>
          <w:p w14:paraId="5371845A">
            <w:pPr>
              <w:pStyle w:val="14"/>
              <w:jc w:val="center"/>
              <w:rPr>
                <w:rFonts w:ascii="仿宋" w:hAnsi="仿宋" w:eastAsia="仿宋" w:cs="仿宋"/>
                <w:szCs w:val="21"/>
              </w:rPr>
            </w:pPr>
            <w:r>
              <w:rPr>
                <w:rFonts w:hint="eastAsia" w:ascii="仿宋" w:hAnsi="仿宋" w:eastAsia="仿宋" w:cs="仿宋"/>
                <w:szCs w:val="21"/>
              </w:rPr>
              <w:t>10</w:t>
            </w:r>
          </w:p>
        </w:tc>
      </w:tr>
      <w:tr w14:paraId="220C0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0" w:hRule="atLeast"/>
          <w:jc w:val="center"/>
        </w:trPr>
        <w:tc>
          <w:tcPr>
            <w:tcW w:w="282" w:type="pct"/>
            <w:vAlign w:val="center"/>
          </w:tcPr>
          <w:p w14:paraId="75FEA20D">
            <w:pPr>
              <w:pStyle w:val="14"/>
              <w:jc w:val="center"/>
              <w:rPr>
                <w:rFonts w:ascii="仿宋" w:hAnsi="仿宋" w:eastAsia="仿宋" w:cs="仿宋"/>
              </w:rPr>
            </w:pPr>
            <w:r>
              <w:rPr>
                <w:rFonts w:hint="eastAsia" w:ascii="仿宋" w:hAnsi="仿宋" w:eastAsia="仿宋" w:cs="仿宋"/>
              </w:rPr>
              <w:t>8</w:t>
            </w:r>
          </w:p>
        </w:tc>
        <w:tc>
          <w:tcPr>
            <w:tcW w:w="1116" w:type="pct"/>
            <w:vAlign w:val="center"/>
          </w:tcPr>
          <w:p w14:paraId="11CA5D56">
            <w:pPr>
              <w:pStyle w:val="14"/>
              <w:jc w:val="center"/>
              <w:rPr>
                <w:rFonts w:ascii="仿宋" w:hAnsi="仿宋" w:eastAsia="仿宋" w:cs="仿宋"/>
              </w:rPr>
            </w:pPr>
            <w:r>
              <w:rPr>
                <w:rFonts w:hint="eastAsia" w:ascii="仿宋" w:hAnsi="仿宋" w:eastAsia="仿宋" w:cs="仿宋"/>
              </w:rPr>
              <w:t>生物电化学强化的微藻-正渗透膜系统中污水碳氮磷同步去除机理（E2019201293）</w:t>
            </w:r>
          </w:p>
        </w:tc>
        <w:tc>
          <w:tcPr>
            <w:tcW w:w="939" w:type="pct"/>
            <w:vAlign w:val="center"/>
          </w:tcPr>
          <w:p w14:paraId="16B2AD22">
            <w:pPr>
              <w:pStyle w:val="14"/>
              <w:jc w:val="center"/>
              <w:rPr>
                <w:rFonts w:ascii="仿宋" w:hAnsi="仿宋" w:eastAsia="仿宋" w:cs="仿宋"/>
                <w:bCs/>
              </w:rPr>
            </w:pPr>
            <w:r>
              <w:rPr>
                <w:rFonts w:hint="eastAsia" w:ascii="仿宋" w:hAnsi="仿宋" w:eastAsia="仿宋" w:cs="仿宋"/>
              </w:rPr>
              <w:t>河北省自然科学基金</w:t>
            </w:r>
          </w:p>
        </w:tc>
        <w:tc>
          <w:tcPr>
            <w:tcW w:w="436" w:type="pct"/>
            <w:vAlign w:val="center"/>
          </w:tcPr>
          <w:p w14:paraId="5E353AEC">
            <w:pPr>
              <w:pStyle w:val="14"/>
              <w:jc w:val="center"/>
              <w:rPr>
                <w:rFonts w:ascii="仿宋" w:hAnsi="仿宋" w:eastAsia="仿宋" w:cs="仿宋"/>
                <w:bCs/>
              </w:rPr>
            </w:pPr>
            <w:r>
              <w:rPr>
                <w:rFonts w:hint="eastAsia" w:ascii="仿宋" w:hAnsi="仿宋" w:eastAsia="仿宋" w:cs="仿宋"/>
                <w:sz w:val="20"/>
              </w:rPr>
              <w:t>青年项目</w:t>
            </w:r>
          </w:p>
        </w:tc>
        <w:tc>
          <w:tcPr>
            <w:tcW w:w="833" w:type="pct"/>
            <w:vAlign w:val="center"/>
          </w:tcPr>
          <w:p w14:paraId="778A84C7">
            <w:pPr>
              <w:pStyle w:val="14"/>
              <w:jc w:val="center"/>
              <w:rPr>
                <w:rFonts w:ascii="仿宋" w:hAnsi="仿宋" w:eastAsia="仿宋" w:cs="仿宋"/>
                <w:szCs w:val="21"/>
              </w:rPr>
            </w:pPr>
            <w:r>
              <w:rPr>
                <w:rFonts w:hint="eastAsia" w:ascii="仿宋" w:hAnsi="仿宋" w:eastAsia="仿宋" w:cs="仿宋"/>
              </w:rPr>
              <w:t>2019-2021</w:t>
            </w:r>
          </w:p>
        </w:tc>
        <w:tc>
          <w:tcPr>
            <w:tcW w:w="649" w:type="pct"/>
            <w:vAlign w:val="center"/>
          </w:tcPr>
          <w:p w14:paraId="56E7B3D3">
            <w:pPr>
              <w:pStyle w:val="14"/>
              <w:jc w:val="center"/>
              <w:rPr>
                <w:rFonts w:ascii="仿宋" w:hAnsi="仿宋" w:eastAsia="仿宋" w:cs="仿宋"/>
                <w:sz w:val="20"/>
              </w:rPr>
            </w:pPr>
            <w:r>
              <w:rPr>
                <w:rFonts w:hint="eastAsia" w:ascii="仿宋" w:hAnsi="仿宋" w:eastAsia="仿宋" w:cs="仿宋"/>
                <w:sz w:val="20"/>
              </w:rPr>
              <w:t>李  慧</w:t>
            </w:r>
          </w:p>
        </w:tc>
        <w:tc>
          <w:tcPr>
            <w:tcW w:w="743" w:type="pct"/>
            <w:vAlign w:val="center"/>
          </w:tcPr>
          <w:p w14:paraId="7055984E">
            <w:pPr>
              <w:pStyle w:val="14"/>
              <w:jc w:val="center"/>
              <w:rPr>
                <w:rFonts w:ascii="仿宋" w:hAnsi="仿宋" w:eastAsia="仿宋" w:cs="仿宋"/>
                <w:sz w:val="20"/>
              </w:rPr>
            </w:pPr>
            <w:r>
              <w:rPr>
                <w:rFonts w:hint="eastAsia" w:ascii="仿宋" w:hAnsi="仿宋" w:eastAsia="仿宋" w:cs="仿宋"/>
                <w:sz w:val="20"/>
              </w:rPr>
              <w:t>6</w:t>
            </w:r>
          </w:p>
        </w:tc>
      </w:tr>
      <w:tr w14:paraId="6259C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0" w:hRule="atLeast"/>
          <w:jc w:val="center"/>
        </w:trPr>
        <w:tc>
          <w:tcPr>
            <w:tcW w:w="282" w:type="pct"/>
            <w:vAlign w:val="center"/>
          </w:tcPr>
          <w:p w14:paraId="6BC581AE">
            <w:pPr>
              <w:pStyle w:val="14"/>
              <w:jc w:val="center"/>
              <w:rPr>
                <w:rFonts w:ascii="仿宋" w:hAnsi="仿宋" w:eastAsia="仿宋" w:cs="仿宋"/>
              </w:rPr>
            </w:pPr>
            <w:r>
              <w:rPr>
                <w:rFonts w:hint="eastAsia" w:ascii="仿宋" w:hAnsi="仿宋" w:eastAsia="仿宋" w:cs="仿宋"/>
              </w:rPr>
              <w:t>9</w:t>
            </w:r>
          </w:p>
        </w:tc>
        <w:tc>
          <w:tcPr>
            <w:tcW w:w="1116" w:type="pct"/>
            <w:vAlign w:val="center"/>
          </w:tcPr>
          <w:p w14:paraId="5CAB3140">
            <w:pPr>
              <w:pStyle w:val="14"/>
              <w:jc w:val="center"/>
              <w:rPr>
                <w:rFonts w:ascii="仿宋" w:hAnsi="仿宋" w:eastAsia="仿宋" w:cs="仿宋"/>
                <w:szCs w:val="21"/>
              </w:rPr>
            </w:pPr>
            <w:r>
              <w:rPr>
                <w:rFonts w:hint="eastAsia" w:ascii="仿宋" w:hAnsi="仿宋" w:eastAsia="仿宋" w:cs="仿宋"/>
              </w:rPr>
              <w:t>第66批中国博士后科学基金面向项目（2019M661044）</w:t>
            </w:r>
          </w:p>
        </w:tc>
        <w:tc>
          <w:tcPr>
            <w:tcW w:w="939" w:type="pct"/>
            <w:vAlign w:val="center"/>
          </w:tcPr>
          <w:p w14:paraId="29B92734">
            <w:pPr>
              <w:pStyle w:val="14"/>
              <w:jc w:val="center"/>
              <w:rPr>
                <w:rFonts w:ascii="仿宋" w:hAnsi="仿宋" w:eastAsia="仿宋" w:cs="仿宋"/>
                <w:szCs w:val="21"/>
              </w:rPr>
            </w:pPr>
            <w:r>
              <w:rPr>
                <w:rFonts w:hint="eastAsia" w:ascii="仿宋" w:hAnsi="仿宋" w:eastAsia="仿宋" w:cs="仿宋"/>
                <w:sz w:val="20"/>
              </w:rPr>
              <w:t>中国博士后科学基金</w:t>
            </w:r>
          </w:p>
        </w:tc>
        <w:tc>
          <w:tcPr>
            <w:tcW w:w="436" w:type="pct"/>
            <w:vAlign w:val="center"/>
          </w:tcPr>
          <w:p w14:paraId="43BCA0FF">
            <w:pPr>
              <w:pStyle w:val="14"/>
              <w:jc w:val="center"/>
              <w:rPr>
                <w:rFonts w:ascii="仿宋" w:hAnsi="仿宋" w:eastAsia="仿宋" w:cs="仿宋"/>
                <w:szCs w:val="21"/>
              </w:rPr>
            </w:pPr>
            <w:r>
              <w:rPr>
                <w:rFonts w:hint="eastAsia" w:ascii="仿宋" w:hAnsi="仿宋" w:eastAsia="仿宋" w:cs="仿宋"/>
                <w:sz w:val="20"/>
              </w:rPr>
              <w:t>面上项目</w:t>
            </w:r>
          </w:p>
        </w:tc>
        <w:tc>
          <w:tcPr>
            <w:tcW w:w="833" w:type="pct"/>
            <w:vAlign w:val="center"/>
          </w:tcPr>
          <w:p w14:paraId="25AADAB8">
            <w:pPr>
              <w:pStyle w:val="14"/>
              <w:jc w:val="center"/>
              <w:rPr>
                <w:rFonts w:ascii="仿宋" w:hAnsi="仿宋" w:eastAsia="仿宋" w:cs="仿宋"/>
                <w:szCs w:val="21"/>
              </w:rPr>
            </w:pPr>
            <w:r>
              <w:rPr>
                <w:rFonts w:hint="eastAsia" w:ascii="仿宋" w:hAnsi="仿宋" w:eastAsia="仿宋" w:cs="仿宋"/>
              </w:rPr>
              <w:t>2019-2021</w:t>
            </w:r>
          </w:p>
        </w:tc>
        <w:tc>
          <w:tcPr>
            <w:tcW w:w="649" w:type="pct"/>
            <w:vAlign w:val="center"/>
          </w:tcPr>
          <w:p w14:paraId="70E20961">
            <w:pPr>
              <w:pStyle w:val="14"/>
              <w:jc w:val="center"/>
              <w:rPr>
                <w:rFonts w:ascii="仿宋" w:hAnsi="仿宋" w:eastAsia="仿宋" w:cs="仿宋"/>
                <w:sz w:val="20"/>
              </w:rPr>
            </w:pPr>
            <w:r>
              <w:rPr>
                <w:rFonts w:hint="eastAsia" w:ascii="仿宋" w:hAnsi="仿宋" w:eastAsia="仿宋" w:cs="仿宋"/>
                <w:sz w:val="20"/>
              </w:rPr>
              <w:t>李  慧</w:t>
            </w:r>
          </w:p>
        </w:tc>
        <w:tc>
          <w:tcPr>
            <w:tcW w:w="743" w:type="pct"/>
            <w:vAlign w:val="center"/>
          </w:tcPr>
          <w:p w14:paraId="3D412483">
            <w:pPr>
              <w:pStyle w:val="14"/>
              <w:jc w:val="center"/>
              <w:rPr>
                <w:rFonts w:ascii="仿宋" w:hAnsi="仿宋" w:eastAsia="仿宋" w:cs="仿宋"/>
                <w:szCs w:val="21"/>
              </w:rPr>
            </w:pPr>
            <w:r>
              <w:rPr>
                <w:rFonts w:hint="eastAsia" w:ascii="仿宋" w:hAnsi="仿宋" w:eastAsia="仿宋" w:cs="仿宋"/>
                <w:sz w:val="20"/>
              </w:rPr>
              <w:t>8</w:t>
            </w:r>
          </w:p>
        </w:tc>
      </w:tr>
      <w:tr w14:paraId="72F38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0" w:hRule="atLeast"/>
          <w:jc w:val="center"/>
        </w:trPr>
        <w:tc>
          <w:tcPr>
            <w:tcW w:w="282" w:type="pct"/>
            <w:vAlign w:val="center"/>
          </w:tcPr>
          <w:p w14:paraId="01EF1606">
            <w:pPr>
              <w:pStyle w:val="14"/>
              <w:jc w:val="center"/>
              <w:rPr>
                <w:rFonts w:ascii="仿宋" w:hAnsi="仿宋" w:eastAsia="仿宋" w:cs="仿宋"/>
              </w:rPr>
            </w:pPr>
            <w:r>
              <w:rPr>
                <w:rFonts w:hint="eastAsia" w:ascii="仿宋" w:hAnsi="仿宋" w:eastAsia="仿宋" w:cs="仿宋"/>
              </w:rPr>
              <w:t>10</w:t>
            </w:r>
          </w:p>
        </w:tc>
        <w:tc>
          <w:tcPr>
            <w:tcW w:w="1116" w:type="pct"/>
            <w:vAlign w:val="center"/>
          </w:tcPr>
          <w:p w14:paraId="4AC0CB5E">
            <w:pPr>
              <w:pStyle w:val="14"/>
              <w:jc w:val="center"/>
              <w:rPr>
                <w:rFonts w:ascii="仿宋" w:hAnsi="仿宋" w:eastAsia="仿宋" w:cs="仿宋"/>
              </w:rPr>
            </w:pPr>
            <w:r>
              <w:rPr>
                <w:rFonts w:hint="eastAsia" w:ascii="仿宋" w:hAnsi="仿宋" w:eastAsia="仿宋" w:cs="仿宋"/>
                <w:szCs w:val="21"/>
              </w:rPr>
              <w:t>废弃太阳能电池板热处置过程中新型溴代持久性有机污染物的污染特征和生成机制研究</w:t>
            </w:r>
          </w:p>
        </w:tc>
        <w:tc>
          <w:tcPr>
            <w:tcW w:w="939" w:type="pct"/>
            <w:vAlign w:val="center"/>
          </w:tcPr>
          <w:p w14:paraId="51D27712">
            <w:pPr>
              <w:pStyle w:val="14"/>
              <w:jc w:val="center"/>
              <w:rPr>
                <w:rFonts w:ascii="仿宋" w:hAnsi="仿宋" w:eastAsia="仿宋" w:cs="仿宋"/>
              </w:rPr>
            </w:pPr>
            <w:r>
              <w:rPr>
                <w:rFonts w:hint="eastAsia" w:ascii="仿宋" w:hAnsi="仿宋" w:eastAsia="仿宋" w:cs="仿宋"/>
                <w:szCs w:val="21"/>
              </w:rPr>
              <w:t>国家自然科学基金</w:t>
            </w:r>
          </w:p>
        </w:tc>
        <w:tc>
          <w:tcPr>
            <w:tcW w:w="436" w:type="pct"/>
            <w:vAlign w:val="center"/>
          </w:tcPr>
          <w:p w14:paraId="7DD1958B">
            <w:pPr>
              <w:pStyle w:val="14"/>
              <w:jc w:val="center"/>
              <w:rPr>
                <w:rFonts w:ascii="仿宋" w:hAnsi="仿宋" w:eastAsia="仿宋" w:cs="仿宋"/>
              </w:rPr>
            </w:pPr>
            <w:r>
              <w:rPr>
                <w:rFonts w:hint="eastAsia" w:ascii="仿宋" w:hAnsi="仿宋" w:eastAsia="仿宋" w:cs="仿宋"/>
                <w:szCs w:val="21"/>
              </w:rPr>
              <w:t>青年基金</w:t>
            </w:r>
          </w:p>
        </w:tc>
        <w:tc>
          <w:tcPr>
            <w:tcW w:w="833" w:type="pct"/>
            <w:vAlign w:val="center"/>
          </w:tcPr>
          <w:p w14:paraId="27B56451">
            <w:pPr>
              <w:pStyle w:val="14"/>
              <w:jc w:val="center"/>
              <w:rPr>
                <w:rFonts w:ascii="仿宋" w:hAnsi="仿宋" w:eastAsia="仿宋" w:cs="仿宋"/>
              </w:rPr>
            </w:pPr>
            <w:r>
              <w:rPr>
                <w:rFonts w:hint="eastAsia" w:ascii="仿宋" w:hAnsi="仿宋" w:eastAsia="仿宋" w:cs="仿宋"/>
                <w:szCs w:val="21"/>
              </w:rPr>
              <w:t>2020-2022</w:t>
            </w:r>
          </w:p>
        </w:tc>
        <w:tc>
          <w:tcPr>
            <w:tcW w:w="649" w:type="pct"/>
            <w:vAlign w:val="center"/>
          </w:tcPr>
          <w:p w14:paraId="08647441">
            <w:pPr>
              <w:pStyle w:val="14"/>
              <w:jc w:val="center"/>
              <w:rPr>
                <w:rFonts w:ascii="仿宋" w:hAnsi="仿宋" w:eastAsia="仿宋" w:cs="仿宋"/>
                <w:sz w:val="20"/>
              </w:rPr>
            </w:pPr>
            <w:r>
              <w:rPr>
                <w:rFonts w:hint="eastAsia" w:ascii="仿宋" w:hAnsi="仿宋" w:eastAsia="仿宋" w:cs="仿宋"/>
                <w:sz w:val="20"/>
              </w:rPr>
              <w:t>王  美</w:t>
            </w:r>
          </w:p>
        </w:tc>
        <w:tc>
          <w:tcPr>
            <w:tcW w:w="743" w:type="pct"/>
            <w:vAlign w:val="center"/>
          </w:tcPr>
          <w:p w14:paraId="6B11AF24">
            <w:pPr>
              <w:pStyle w:val="14"/>
              <w:jc w:val="center"/>
              <w:rPr>
                <w:rFonts w:ascii="仿宋" w:hAnsi="仿宋" w:eastAsia="仿宋" w:cs="仿宋"/>
              </w:rPr>
            </w:pPr>
            <w:r>
              <w:rPr>
                <w:rFonts w:hint="eastAsia" w:ascii="仿宋" w:hAnsi="仿宋" w:eastAsia="仿宋" w:cs="仿宋"/>
                <w:szCs w:val="21"/>
              </w:rPr>
              <w:t>22</w:t>
            </w:r>
          </w:p>
        </w:tc>
      </w:tr>
      <w:tr w14:paraId="71A73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0" w:hRule="atLeast"/>
          <w:jc w:val="center"/>
        </w:trPr>
        <w:tc>
          <w:tcPr>
            <w:tcW w:w="282" w:type="pct"/>
            <w:vAlign w:val="center"/>
          </w:tcPr>
          <w:p w14:paraId="575C86A0">
            <w:pPr>
              <w:pStyle w:val="14"/>
              <w:jc w:val="center"/>
              <w:rPr>
                <w:rFonts w:ascii="仿宋" w:hAnsi="仿宋" w:eastAsia="仿宋" w:cs="仿宋"/>
                <w:w w:val="99"/>
              </w:rPr>
            </w:pPr>
            <w:r>
              <w:rPr>
                <w:rFonts w:hint="eastAsia" w:ascii="仿宋" w:hAnsi="仿宋" w:eastAsia="仿宋" w:cs="仿宋"/>
              </w:rPr>
              <w:t>11</w:t>
            </w:r>
          </w:p>
        </w:tc>
        <w:tc>
          <w:tcPr>
            <w:tcW w:w="1116" w:type="pct"/>
            <w:vAlign w:val="center"/>
          </w:tcPr>
          <w:p w14:paraId="1673F1D3">
            <w:pPr>
              <w:pStyle w:val="14"/>
              <w:jc w:val="center"/>
              <w:rPr>
                <w:rFonts w:ascii="仿宋" w:hAnsi="仿宋" w:eastAsia="仿宋" w:cs="仿宋"/>
                <w:sz w:val="20"/>
              </w:rPr>
            </w:pPr>
            <w:r>
              <w:rPr>
                <w:rFonts w:hint="eastAsia" w:ascii="仿宋" w:hAnsi="仿宋" w:eastAsia="仿宋" w:cs="仿宋"/>
                <w:szCs w:val="21"/>
              </w:rPr>
              <w:t>京津冀地区大气中典型有机磷酸酯类化合物的粒径分布及暴露特征研究</w:t>
            </w:r>
          </w:p>
        </w:tc>
        <w:tc>
          <w:tcPr>
            <w:tcW w:w="939" w:type="pct"/>
            <w:vAlign w:val="center"/>
          </w:tcPr>
          <w:p w14:paraId="01D0DF35">
            <w:pPr>
              <w:pStyle w:val="14"/>
              <w:jc w:val="center"/>
              <w:rPr>
                <w:rFonts w:ascii="仿宋" w:hAnsi="仿宋" w:eastAsia="仿宋" w:cs="仿宋"/>
              </w:rPr>
            </w:pPr>
            <w:r>
              <w:rPr>
                <w:rFonts w:hint="eastAsia" w:ascii="仿宋" w:hAnsi="仿宋" w:eastAsia="仿宋" w:cs="仿宋"/>
                <w:szCs w:val="21"/>
              </w:rPr>
              <w:t>河北省自然科学基金</w:t>
            </w:r>
          </w:p>
        </w:tc>
        <w:tc>
          <w:tcPr>
            <w:tcW w:w="436" w:type="pct"/>
            <w:vAlign w:val="center"/>
          </w:tcPr>
          <w:p w14:paraId="17E0A7B2">
            <w:pPr>
              <w:pStyle w:val="14"/>
              <w:jc w:val="center"/>
              <w:rPr>
                <w:rFonts w:ascii="仿宋" w:hAnsi="仿宋" w:eastAsia="仿宋" w:cs="仿宋"/>
                <w:sz w:val="20"/>
              </w:rPr>
            </w:pPr>
            <w:r>
              <w:rPr>
                <w:rFonts w:hint="eastAsia" w:ascii="仿宋" w:hAnsi="仿宋" w:eastAsia="仿宋" w:cs="仿宋"/>
                <w:szCs w:val="21"/>
              </w:rPr>
              <w:t>青年基金</w:t>
            </w:r>
          </w:p>
        </w:tc>
        <w:tc>
          <w:tcPr>
            <w:tcW w:w="833" w:type="pct"/>
            <w:vAlign w:val="center"/>
          </w:tcPr>
          <w:p w14:paraId="16641036">
            <w:pPr>
              <w:pStyle w:val="14"/>
              <w:jc w:val="center"/>
              <w:rPr>
                <w:rFonts w:ascii="仿宋" w:hAnsi="仿宋" w:eastAsia="仿宋" w:cs="仿宋"/>
                <w:sz w:val="20"/>
              </w:rPr>
            </w:pPr>
            <w:r>
              <w:rPr>
                <w:rFonts w:hint="eastAsia" w:ascii="仿宋" w:hAnsi="仿宋" w:eastAsia="仿宋" w:cs="仿宋"/>
                <w:szCs w:val="21"/>
              </w:rPr>
              <w:t>2019-2021</w:t>
            </w:r>
          </w:p>
        </w:tc>
        <w:tc>
          <w:tcPr>
            <w:tcW w:w="649" w:type="pct"/>
            <w:vAlign w:val="center"/>
          </w:tcPr>
          <w:p w14:paraId="3CC9BB33">
            <w:pPr>
              <w:pStyle w:val="14"/>
              <w:jc w:val="center"/>
              <w:rPr>
                <w:rFonts w:ascii="仿宋" w:hAnsi="仿宋" w:eastAsia="仿宋" w:cs="仿宋"/>
                <w:sz w:val="20"/>
              </w:rPr>
            </w:pPr>
            <w:r>
              <w:rPr>
                <w:rFonts w:hint="eastAsia" w:ascii="仿宋" w:hAnsi="仿宋" w:eastAsia="仿宋" w:cs="仿宋"/>
                <w:sz w:val="20"/>
              </w:rPr>
              <w:t>王  美</w:t>
            </w:r>
          </w:p>
        </w:tc>
        <w:tc>
          <w:tcPr>
            <w:tcW w:w="743" w:type="pct"/>
            <w:vAlign w:val="center"/>
          </w:tcPr>
          <w:p w14:paraId="655D1645">
            <w:pPr>
              <w:jc w:val="center"/>
              <w:rPr>
                <w:rFonts w:ascii="仿宋" w:hAnsi="仿宋" w:eastAsia="仿宋" w:cs="仿宋"/>
                <w:sz w:val="20"/>
              </w:rPr>
            </w:pPr>
            <w:r>
              <w:rPr>
                <w:rFonts w:hint="eastAsia" w:ascii="仿宋" w:hAnsi="仿宋" w:eastAsia="仿宋" w:cs="仿宋"/>
                <w:szCs w:val="21"/>
              </w:rPr>
              <w:t>6</w:t>
            </w:r>
          </w:p>
        </w:tc>
      </w:tr>
      <w:tr w14:paraId="793AC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0" w:hRule="atLeast"/>
          <w:jc w:val="center"/>
        </w:trPr>
        <w:tc>
          <w:tcPr>
            <w:tcW w:w="282" w:type="pct"/>
            <w:vAlign w:val="center"/>
          </w:tcPr>
          <w:p w14:paraId="16F3D769">
            <w:pPr>
              <w:pStyle w:val="14"/>
              <w:jc w:val="center"/>
              <w:rPr>
                <w:rFonts w:ascii="仿宋" w:hAnsi="仿宋" w:eastAsia="仿宋" w:cs="仿宋"/>
              </w:rPr>
            </w:pPr>
            <w:r>
              <w:rPr>
                <w:rFonts w:hint="eastAsia" w:ascii="仿宋" w:hAnsi="仿宋" w:eastAsia="仿宋" w:cs="仿宋"/>
              </w:rPr>
              <w:t>12</w:t>
            </w:r>
          </w:p>
        </w:tc>
        <w:tc>
          <w:tcPr>
            <w:tcW w:w="1116" w:type="pct"/>
            <w:vAlign w:val="center"/>
          </w:tcPr>
          <w:p w14:paraId="133632A3">
            <w:pPr>
              <w:pStyle w:val="14"/>
              <w:jc w:val="center"/>
              <w:rPr>
                <w:rFonts w:ascii="仿宋" w:hAnsi="仿宋" w:eastAsia="仿宋" w:cs="仿宋"/>
                <w:sz w:val="20"/>
              </w:rPr>
            </w:pPr>
            <w:r>
              <w:rPr>
                <w:rFonts w:hint="eastAsia" w:ascii="仿宋" w:hAnsi="仿宋" w:eastAsia="仿宋" w:cs="仿宋"/>
              </w:rPr>
              <w:t>白洋淀上游典型水-土环境介质中农药的赋存特征及生态风险评估(B2019201043)</w:t>
            </w:r>
          </w:p>
        </w:tc>
        <w:tc>
          <w:tcPr>
            <w:tcW w:w="939" w:type="pct"/>
            <w:vAlign w:val="center"/>
          </w:tcPr>
          <w:p w14:paraId="7B27FCB1">
            <w:pPr>
              <w:pStyle w:val="14"/>
              <w:jc w:val="center"/>
              <w:rPr>
                <w:rFonts w:ascii="仿宋" w:hAnsi="仿宋" w:eastAsia="仿宋" w:cs="仿宋"/>
              </w:rPr>
            </w:pPr>
            <w:r>
              <w:rPr>
                <w:rFonts w:hint="eastAsia" w:ascii="仿宋" w:hAnsi="仿宋" w:eastAsia="仿宋" w:cs="仿宋"/>
              </w:rPr>
              <w:t>河北省自然科学基金</w:t>
            </w:r>
          </w:p>
        </w:tc>
        <w:tc>
          <w:tcPr>
            <w:tcW w:w="436" w:type="pct"/>
            <w:vAlign w:val="center"/>
          </w:tcPr>
          <w:p w14:paraId="47C95568">
            <w:pPr>
              <w:pStyle w:val="14"/>
              <w:jc w:val="center"/>
              <w:rPr>
                <w:rFonts w:ascii="仿宋" w:hAnsi="仿宋" w:eastAsia="仿宋" w:cs="仿宋"/>
                <w:sz w:val="20"/>
              </w:rPr>
            </w:pPr>
            <w:r>
              <w:rPr>
                <w:rFonts w:hint="eastAsia" w:ascii="仿宋" w:hAnsi="仿宋" w:eastAsia="仿宋" w:cs="仿宋"/>
              </w:rPr>
              <w:t>青年基金项目</w:t>
            </w:r>
          </w:p>
        </w:tc>
        <w:tc>
          <w:tcPr>
            <w:tcW w:w="833" w:type="pct"/>
            <w:vAlign w:val="center"/>
          </w:tcPr>
          <w:p w14:paraId="532591A5">
            <w:pPr>
              <w:pStyle w:val="14"/>
              <w:jc w:val="center"/>
              <w:rPr>
                <w:rFonts w:ascii="仿宋" w:hAnsi="仿宋" w:eastAsia="仿宋" w:cs="仿宋"/>
                <w:sz w:val="20"/>
              </w:rPr>
            </w:pPr>
            <w:r>
              <w:rPr>
                <w:rFonts w:hint="eastAsia" w:ascii="仿宋" w:hAnsi="仿宋" w:eastAsia="仿宋" w:cs="仿宋"/>
              </w:rPr>
              <w:t>2019-2021</w:t>
            </w:r>
          </w:p>
        </w:tc>
        <w:tc>
          <w:tcPr>
            <w:tcW w:w="649" w:type="pct"/>
            <w:vAlign w:val="center"/>
          </w:tcPr>
          <w:p w14:paraId="25B6773F">
            <w:pPr>
              <w:pStyle w:val="14"/>
              <w:jc w:val="center"/>
              <w:rPr>
                <w:rFonts w:ascii="仿宋" w:hAnsi="仿宋" w:eastAsia="仿宋" w:cs="仿宋"/>
                <w:sz w:val="20"/>
              </w:rPr>
            </w:pPr>
            <w:r>
              <w:rPr>
                <w:rFonts w:hint="eastAsia" w:ascii="仿宋" w:hAnsi="仿宋" w:eastAsia="仿宋" w:cs="仿宋"/>
              </w:rPr>
              <w:t>陈晓欣</w:t>
            </w:r>
          </w:p>
        </w:tc>
        <w:tc>
          <w:tcPr>
            <w:tcW w:w="743" w:type="pct"/>
            <w:vAlign w:val="center"/>
          </w:tcPr>
          <w:p w14:paraId="7D533097">
            <w:pPr>
              <w:jc w:val="center"/>
              <w:rPr>
                <w:rFonts w:ascii="仿宋" w:hAnsi="仿宋" w:eastAsia="仿宋" w:cs="仿宋"/>
                <w:sz w:val="20"/>
              </w:rPr>
            </w:pPr>
            <w:r>
              <w:rPr>
                <w:rFonts w:hint="eastAsia" w:ascii="仿宋" w:hAnsi="仿宋" w:eastAsia="仿宋" w:cs="仿宋"/>
              </w:rPr>
              <w:t>6</w:t>
            </w:r>
          </w:p>
        </w:tc>
      </w:tr>
      <w:tr w14:paraId="66BB2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0" w:hRule="atLeast"/>
          <w:jc w:val="center"/>
        </w:trPr>
        <w:tc>
          <w:tcPr>
            <w:tcW w:w="282" w:type="pct"/>
            <w:vAlign w:val="center"/>
          </w:tcPr>
          <w:p w14:paraId="12B6E971">
            <w:pPr>
              <w:pStyle w:val="14"/>
              <w:jc w:val="center"/>
              <w:rPr>
                <w:rFonts w:ascii="仿宋" w:hAnsi="仿宋" w:eastAsia="仿宋" w:cs="仿宋"/>
              </w:rPr>
            </w:pPr>
            <w:r>
              <w:rPr>
                <w:rFonts w:hint="eastAsia" w:ascii="仿宋" w:hAnsi="仿宋" w:eastAsia="仿宋" w:cs="仿宋"/>
              </w:rPr>
              <w:t>13</w:t>
            </w:r>
          </w:p>
        </w:tc>
        <w:tc>
          <w:tcPr>
            <w:tcW w:w="1116" w:type="pct"/>
            <w:vAlign w:val="center"/>
          </w:tcPr>
          <w:p w14:paraId="09FBEB69">
            <w:pPr>
              <w:pStyle w:val="14"/>
              <w:jc w:val="center"/>
              <w:rPr>
                <w:rFonts w:ascii="仿宋" w:hAnsi="仿宋" w:eastAsia="仿宋" w:cs="仿宋"/>
                <w:sz w:val="20"/>
              </w:rPr>
            </w:pPr>
            <w:r>
              <w:rPr>
                <w:rFonts w:hint="eastAsia" w:ascii="仿宋" w:hAnsi="仿宋" w:eastAsia="仿宋" w:cs="仿宋"/>
              </w:rPr>
              <w:t>臭氧污染胁迫土壤根际微生物响应机制 (2017YFE0127700-3)</w:t>
            </w:r>
          </w:p>
        </w:tc>
        <w:tc>
          <w:tcPr>
            <w:tcW w:w="939" w:type="pct"/>
            <w:vAlign w:val="center"/>
          </w:tcPr>
          <w:p w14:paraId="19F1708A">
            <w:pPr>
              <w:pStyle w:val="14"/>
              <w:jc w:val="center"/>
              <w:rPr>
                <w:rFonts w:ascii="仿宋" w:hAnsi="仿宋" w:eastAsia="仿宋" w:cs="仿宋"/>
                <w:sz w:val="20"/>
              </w:rPr>
            </w:pPr>
            <w:r>
              <w:rPr>
                <w:rFonts w:hint="eastAsia" w:ascii="仿宋" w:hAnsi="仿宋" w:eastAsia="仿宋" w:cs="仿宋"/>
              </w:rPr>
              <w:t>国家重点研发计划项目</w:t>
            </w:r>
          </w:p>
        </w:tc>
        <w:tc>
          <w:tcPr>
            <w:tcW w:w="436" w:type="pct"/>
            <w:vAlign w:val="center"/>
          </w:tcPr>
          <w:p w14:paraId="24C47BE7">
            <w:pPr>
              <w:pStyle w:val="14"/>
              <w:jc w:val="center"/>
              <w:rPr>
                <w:rFonts w:ascii="仿宋" w:hAnsi="仿宋" w:eastAsia="仿宋" w:cs="仿宋"/>
                <w:sz w:val="20"/>
              </w:rPr>
            </w:pPr>
            <w:r>
              <w:rPr>
                <w:rFonts w:hint="eastAsia" w:ascii="仿宋" w:hAnsi="仿宋" w:eastAsia="仿宋" w:cs="仿宋"/>
              </w:rPr>
              <w:t>政府间国际科技创新合作项目</w:t>
            </w:r>
          </w:p>
        </w:tc>
        <w:tc>
          <w:tcPr>
            <w:tcW w:w="833" w:type="pct"/>
            <w:vAlign w:val="center"/>
          </w:tcPr>
          <w:p w14:paraId="5C08CA24">
            <w:pPr>
              <w:pStyle w:val="14"/>
              <w:jc w:val="center"/>
              <w:rPr>
                <w:rFonts w:ascii="仿宋" w:hAnsi="仿宋" w:eastAsia="仿宋" w:cs="仿宋"/>
                <w:sz w:val="20"/>
              </w:rPr>
            </w:pPr>
            <w:r>
              <w:rPr>
                <w:rFonts w:hint="eastAsia" w:ascii="仿宋" w:hAnsi="仿宋" w:eastAsia="仿宋" w:cs="仿宋"/>
              </w:rPr>
              <w:t>2019-2022</w:t>
            </w:r>
          </w:p>
        </w:tc>
        <w:tc>
          <w:tcPr>
            <w:tcW w:w="649" w:type="pct"/>
            <w:vAlign w:val="center"/>
          </w:tcPr>
          <w:p w14:paraId="616FFC63">
            <w:pPr>
              <w:pStyle w:val="14"/>
              <w:jc w:val="center"/>
              <w:rPr>
                <w:rFonts w:ascii="仿宋" w:hAnsi="仿宋" w:eastAsia="仿宋" w:cs="仿宋"/>
                <w:sz w:val="20"/>
              </w:rPr>
            </w:pPr>
            <w:r>
              <w:rPr>
                <w:rFonts w:hint="eastAsia" w:ascii="仿宋" w:hAnsi="仿宋" w:eastAsia="仿宋" w:cs="仿宋"/>
              </w:rPr>
              <w:t>王  琴</w:t>
            </w:r>
          </w:p>
        </w:tc>
        <w:tc>
          <w:tcPr>
            <w:tcW w:w="743" w:type="pct"/>
            <w:vAlign w:val="center"/>
          </w:tcPr>
          <w:p w14:paraId="569A3E91">
            <w:pPr>
              <w:jc w:val="center"/>
              <w:rPr>
                <w:rFonts w:ascii="仿宋" w:hAnsi="仿宋" w:eastAsia="仿宋" w:cs="仿宋"/>
                <w:sz w:val="20"/>
              </w:rPr>
            </w:pPr>
            <w:r>
              <w:rPr>
                <w:rFonts w:hint="eastAsia" w:ascii="仿宋" w:hAnsi="仿宋" w:eastAsia="仿宋" w:cs="仿宋"/>
              </w:rPr>
              <w:t>50</w:t>
            </w:r>
          </w:p>
        </w:tc>
      </w:tr>
      <w:tr w14:paraId="4BE41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0" w:hRule="atLeast"/>
          <w:jc w:val="center"/>
        </w:trPr>
        <w:tc>
          <w:tcPr>
            <w:tcW w:w="282" w:type="pct"/>
            <w:vAlign w:val="center"/>
          </w:tcPr>
          <w:p w14:paraId="13EA6671">
            <w:pPr>
              <w:pStyle w:val="14"/>
              <w:jc w:val="center"/>
              <w:rPr>
                <w:rFonts w:ascii="仿宋" w:hAnsi="仿宋" w:eastAsia="仿宋" w:cs="仿宋"/>
              </w:rPr>
            </w:pPr>
            <w:r>
              <w:rPr>
                <w:rFonts w:hint="eastAsia" w:ascii="仿宋" w:hAnsi="仿宋" w:eastAsia="仿宋" w:cs="仿宋"/>
              </w:rPr>
              <w:t>14</w:t>
            </w:r>
          </w:p>
        </w:tc>
        <w:tc>
          <w:tcPr>
            <w:tcW w:w="1116" w:type="pct"/>
            <w:vAlign w:val="center"/>
          </w:tcPr>
          <w:p w14:paraId="03E3D1AE">
            <w:pPr>
              <w:widowControl/>
              <w:jc w:val="center"/>
              <w:rPr>
                <w:rFonts w:ascii="仿宋" w:hAnsi="仿宋" w:eastAsia="仿宋" w:cs="仿宋"/>
                <w:szCs w:val="21"/>
              </w:rPr>
            </w:pPr>
            <w:r>
              <w:rPr>
                <w:rFonts w:hint="eastAsia" w:ascii="仿宋" w:hAnsi="仿宋" w:eastAsia="仿宋" w:cs="仿宋"/>
              </w:rPr>
              <w:t>芦苇基制品的生产技术开发</w:t>
            </w:r>
          </w:p>
        </w:tc>
        <w:tc>
          <w:tcPr>
            <w:tcW w:w="939" w:type="pct"/>
            <w:vAlign w:val="center"/>
          </w:tcPr>
          <w:p w14:paraId="0FF578B6">
            <w:pPr>
              <w:widowControl/>
              <w:jc w:val="center"/>
              <w:rPr>
                <w:rFonts w:ascii="仿宋" w:hAnsi="仿宋" w:eastAsia="仿宋" w:cs="仿宋"/>
                <w:szCs w:val="21"/>
              </w:rPr>
            </w:pPr>
            <w:r>
              <w:rPr>
                <w:rFonts w:hint="eastAsia" w:ascii="仿宋" w:hAnsi="仿宋" w:eastAsia="仿宋" w:cs="仿宋"/>
                <w:sz w:val="20"/>
              </w:rPr>
              <w:t>企业</w:t>
            </w:r>
          </w:p>
        </w:tc>
        <w:tc>
          <w:tcPr>
            <w:tcW w:w="436" w:type="pct"/>
            <w:vAlign w:val="center"/>
          </w:tcPr>
          <w:p w14:paraId="27082DE8">
            <w:pPr>
              <w:widowControl/>
              <w:jc w:val="center"/>
              <w:rPr>
                <w:rFonts w:ascii="仿宋" w:hAnsi="仿宋" w:eastAsia="仿宋" w:cs="仿宋"/>
                <w:szCs w:val="21"/>
              </w:rPr>
            </w:pPr>
            <w:r>
              <w:rPr>
                <w:rFonts w:hint="eastAsia" w:ascii="仿宋" w:hAnsi="仿宋" w:eastAsia="仿宋" w:cs="仿宋"/>
              </w:rPr>
              <w:t>横向项目</w:t>
            </w:r>
          </w:p>
        </w:tc>
        <w:tc>
          <w:tcPr>
            <w:tcW w:w="833" w:type="pct"/>
            <w:vAlign w:val="center"/>
          </w:tcPr>
          <w:p w14:paraId="00E02B49">
            <w:pPr>
              <w:widowControl/>
              <w:jc w:val="center"/>
              <w:rPr>
                <w:rFonts w:ascii="仿宋" w:hAnsi="仿宋" w:eastAsia="仿宋" w:cs="仿宋"/>
                <w:szCs w:val="21"/>
              </w:rPr>
            </w:pPr>
            <w:r>
              <w:rPr>
                <w:rFonts w:hint="eastAsia" w:ascii="仿宋" w:hAnsi="仿宋" w:eastAsia="仿宋" w:cs="仿宋"/>
                <w:sz w:val="20"/>
              </w:rPr>
              <w:t>2019-2023</w:t>
            </w:r>
          </w:p>
        </w:tc>
        <w:tc>
          <w:tcPr>
            <w:tcW w:w="649" w:type="pct"/>
            <w:vAlign w:val="center"/>
          </w:tcPr>
          <w:p w14:paraId="56EEA5C0">
            <w:pPr>
              <w:pStyle w:val="14"/>
              <w:jc w:val="center"/>
              <w:rPr>
                <w:rFonts w:ascii="仿宋" w:hAnsi="仿宋" w:eastAsia="仿宋" w:cs="仿宋"/>
                <w:sz w:val="20"/>
              </w:rPr>
            </w:pPr>
            <w:r>
              <w:rPr>
                <w:rFonts w:hint="eastAsia" w:ascii="仿宋" w:hAnsi="仿宋" w:eastAsia="仿宋" w:cs="仿宋"/>
                <w:sz w:val="20"/>
              </w:rPr>
              <w:t>谢吉星</w:t>
            </w:r>
          </w:p>
        </w:tc>
        <w:tc>
          <w:tcPr>
            <w:tcW w:w="743" w:type="pct"/>
            <w:vAlign w:val="center"/>
          </w:tcPr>
          <w:p w14:paraId="4F4AB325">
            <w:pPr>
              <w:widowControl/>
              <w:jc w:val="center"/>
              <w:rPr>
                <w:rFonts w:ascii="仿宋" w:hAnsi="仿宋" w:eastAsia="仿宋" w:cs="仿宋"/>
                <w:szCs w:val="21"/>
              </w:rPr>
            </w:pPr>
            <w:r>
              <w:rPr>
                <w:rFonts w:hint="eastAsia" w:ascii="仿宋" w:hAnsi="仿宋" w:eastAsia="仿宋" w:cs="仿宋"/>
                <w:sz w:val="20"/>
              </w:rPr>
              <w:t>20</w:t>
            </w:r>
          </w:p>
        </w:tc>
      </w:tr>
      <w:tr w14:paraId="387CC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0" w:hRule="atLeast"/>
          <w:jc w:val="center"/>
        </w:trPr>
        <w:tc>
          <w:tcPr>
            <w:tcW w:w="282" w:type="pct"/>
            <w:vAlign w:val="center"/>
          </w:tcPr>
          <w:p w14:paraId="355D3ABD">
            <w:pPr>
              <w:pStyle w:val="14"/>
              <w:jc w:val="center"/>
              <w:rPr>
                <w:rFonts w:ascii="仿宋" w:hAnsi="仿宋" w:eastAsia="仿宋" w:cs="仿宋"/>
              </w:rPr>
            </w:pPr>
            <w:r>
              <w:rPr>
                <w:rFonts w:hint="eastAsia" w:ascii="仿宋" w:hAnsi="仿宋" w:eastAsia="仿宋" w:cs="仿宋"/>
              </w:rPr>
              <w:t>15</w:t>
            </w:r>
          </w:p>
        </w:tc>
        <w:tc>
          <w:tcPr>
            <w:tcW w:w="1116" w:type="pct"/>
            <w:vAlign w:val="center"/>
          </w:tcPr>
          <w:p w14:paraId="1B63DAF3">
            <w:pPr>
              <w:widowControl/>
              <w:jc w:val="center"/>
              <w:rPr>
                <w:rFonts w:ascii="仿宋" w:hAnsi="仿宋" w:eastAsia="仿宋" w:cs="仿宋"/>
                <w:szCs w:val="21"/>
              </w:rPr>
            </w:pPr>
            <w:r>
              <w:rPr>
                <w:rFonts w:hint="eastAsia" w:ascii="仿宋" w:hAnsi="仿宋" w:eastAsia="仿宋" w:cs="仿宋"/>
              </w:rPr>
              <w:t>用于静电除尘器等离子体源的电晕放电中不稳定性的研究</w:t>
            </w:r>
          </w:p>
        </w:tc>
        <w:tc>
          <w:tcPr>
            <w:tcW w:w="939" w:type="pct"/>
            <w:vAlign w:val="center"/>
          </w:tcPr>
          <w:p w14:paraId="7BFEB113">
            <w:pPr>
              <w:widowControl/>
              <w:jc w:val="center"/>
              <w:rPr>
                <w:rFonts w:ascii="仿宋" w:hAnsi="仿宋" w:eastAsia="仿宋" w:cs="仿宋"/>
                <w:szCs w:val="21"/>
              </w:rPr>
            </w:pPr>
            <w:r>
              <w:rPr>
                <w:rFonts w:hint="eastAsia" w:ascii="仿宋" w:hAnsi="仿宋" w:eastAsia="仿宋" w:cs="仿宋"/>
                <w:color w:val="000000"/>
                <w:szCs w:val="21"/>
              </w:rPr>
              <w:t>河北省高等学校科学技术研究项目</w:t>
            </w:r>
          </w:p>
        </w:tc>
        <w:tc>
          <w:tcPr>
            <w:tcW w:w="436" w:type="pct"/>
            <w:vAlign w:val="center"/>
          </w:tcPr>
          <w:p w14:paraId="66F7EB99">
            <w:pPr>
              <w:jc w:val="center"/>
              <w:rPr>
                <w:rFonts w:ascii="仿宋" w:hAnsi="仿宋" w:eastAsia="仿宋" w:cs="仿宋"/>
                <w:color w:val="000000"/>
                <w:szCs w:val="21"/>
              </w:rPr>
            </w:pPr>
          </w:p>
          <w:p w14:paraId="759BD82F">
            <w:pPr>
              <w:widowControl/>
              <w:jc w:val="center"/>
              <w:rPr>
                <w:rFonts w:ascii="仿宋" w:hAnsi="仿宋" w:eastAsia="仿宋" w:cs="仿宋"/>
                <w:szCs w:val="21"/>
              </w:rPr>
            </w:pPr>
            <w:r>
              <w:rPr>
                <w:rFonts w:hint="eastAsia" w:ascii="仿宋" w:hAnsi="仿宋" w:eastAsia="仿宋" w:cs="仿宋"/>
                <w:color w:val="000000"/>
                <w:szCs w:val="21"/>
              </w:rPr>
              <w:t>重点项目</w:t>
            </w:r>
          </w:p>
        </w:tc>
        <w:tc>
          <w:tcPr>
            <w:tcW w:w="833" w:type="pct"/>
            <w:vAlign w:val="center"/>
          </w:tcPr>
          <w:p w14:paraId="61368228">
            <w:pPr>
              <w:widowControl/>
              <w:jc w:val="center"/>
              <w:rPr>
                <w:rFonts w:ascii="仿宋" w:hAnsi="仿宋" w:eastAsia="仿宋" w:cs="仿宋"/>
                <w:szCs w:val="21"/>
              </w:rPr>
            </w:pPr>
            <w:r>
              <w:rPr>
                <w:rFonts w:hint="eastAsia" w:ascii="仿宋" w:hAnsi="仿宋" w:eastAsia="仿宋" w:cs="仿宋"/>
              </w:rPr>
              <w:t>2020-2022</w:t>
            </w:r>
          </w:p>
        </w:tc>
        <w:tc>
          <w:tcPr>
            <w:tcW w:w="649" w:type="pct"/>
            <w:vAlign w:val="center"/>
          </w:tcPr>
          <w:p w14:paraId="01F8CA39">
            <w:pPr>
              <w:pStyle w:val="14"/>
              <w:jc w:val="center"/>
              <w:rPr>
                <w:rFonts w:ascii="仿宋" w:hAnsi="仿宋" w:eastAsia="仿宋" w:cs="仿宋"/>
                <w:sz w:val="20"/>
              </w:rPr>
            </w:pPr>
            <w:r>
              <w:rPr>
                <w:rFonts w:hint="eastAsia" w:ascii="仿宋" w:hAnsi="仿宋" w:eastAsia="仿宋" w:cs="仿宋"/>
                <w:sz w:val="20"/>
              </w:rPr>
              <w:t>何寿杰</w:t>
            </w:r>
          </w:p>
        </w:tc>
        <w:tc>
          <w:tcPr>
            <w:tcW w:w="743" w:type="pct"/>
            <w:vAlign w:val="center"/>
          </w:tcPr>
          <w:p w14:paraId="5E323D95">
            <w:pPr>
              <w:widowControl/>
              <w:jc w:val="center"/>
              <w:rPr>
                <w:rFonts w:ascii="仿宋" w:hAnsi="仿宋" w:eastAsia="仿宋" w:cs="仿宋"/>
                <w:szCs w:val="21"/>
              </w:rPr>
            </w:pPr>
            <w:r>
              <w:rPr>
                <w:rFonts w:hint="eastAsia" w:ascii="仿宋" w:hAnsi="仿宋" w:eastAsia="仿宋" w:cs="仿宋"/>
              </w:rPr>
              <w:t>8</w:t>
            </w:r>
          </w:p>
        </w:tc>
      </w:tr>
      <w:tr w14:paraId="5F418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0" w:hRule="atLeast"/>
          <w:jc w:val="center"/>
        </w:trPr>
        <w:tc>
          <w:tcPr>
            <w:tcW w:w="282" w:type="pct"/>
            <w:vAlign w:val="center"/>
          </w:tcPr>
          <w:p w14:paraId="34A51D89">
            <w:pPr>
              <w:pStyle w:val="14"/>
              <w:jc w:val="center"/>
              <w:rPr>
                <w:rFonts w:ascii="仿宋" w:hAnsi="仿宋" w:eastAsia="仿宋" w:cs="仿宋"/>
              </w:rPr>
            </w:pPr>
            <w:r>
              <w:rPr>
                <w:rFonts w:hint="eastAsia" w:ascii="仿宋" w:hAnsi="仿宋" w:eastAsia="仿宋" w:cs="仿宋"/>
              </w:rPr>
              <w:t>16</w:t>
            </w:r>
          </w:p>
        </w:tc>
        <w:tc>
          <w:tcPr>
            <w:tcW w:w="1116" w:type="pct"/>
            <w:vAlign w:val="center"/>
          </w:tcPr>
          <w:p w14:paraId="7E04B5E7">
            <w:pPr>
              <w:pStyle w:val="14"/>
              <w:jc w:val="center"/>
              <w:rPr>
                <w:rFonts w:ascii="仿宋" w:hAnsi="仿宋" w:eastAsia="仿宋" w:cs="仿宋"/>
              </w:rPr>
            </w:pPr>
            <w:r>
              <w:rPr>
                <w:rFonts w:hint="eastAsia" w:ascii="仿宋" w:hAnsi="仿宋" w:eastAsia="仿宋" w:cs="仿宋"/>
              </w:rPr>
              <w:t>北方典型草型湖泊（白洋淀）生态修复策略</w:t>
            </w:r>
          </w:p>
        </w:tc>
        <w:tc>
          <w:tcPr>
            <w:tcW w:w="939" w:type="pct"/>
            <w:vAlign w:val="center"/>
          </w:tcPr>
          <w:p w14:paraId="7C5FED56">
            <w:pPr>
              <w:pStyle w:val="14"/>
              <w:jc w:val="center"/>
              <w:rPr>
                <w:rFonts w:ascii="仿宋" w:hAnsi="仿宋" w:eastAsia="仿宋" w:cs="仿宋"/>
              </w:rPr>
            </w:pPr>
            <w:r>
              <w:rPr>
                <w:rFonts w:hint="eastAsia" w:ascii="仿宋" w:hAnsi="仿宋" w:eastAsia="仿宋" w:cs="仿宋"/>
                <w:bCs/>
              </w:rPr>
              <w:t>国家水体污染控制与治理科技重大专项</w:t>
            </w:r>
          </w:p>
        </w:tc>
        <w:tc>
          <w:tcPr>
            <w:tcW w:w="436" w:type="pct"/>
            <w:vAlign w:val="center"/>
          </w:tcPr>
          <w:p w14:paraId="5E986511">
            <w:pPr>
              <w:pStyle w:val="14"/>
              <w:jc w:val="center"/>
              <w:rPr>
                <w:rFonts w:ascii="仿宋" w:hAnsi="仿宋" w:eastAsia="仿宋" w:cs="仿宋"/>
              </w:rPr>
            </w:pPr>
            <w:r>
              <w:rPr>
                <w:rFonts w:hint="eastAsia" w:ascii="仿宋" w:hAnsi="仿宋" w:eastAsia="仿宋" w:cs="仿宋"/>
                <w:szCs w:val="21"/>
              </w:rPr>
              <w:t>子课题</w:t>
            </w:r>
          </w:p>
        </w:tc>
        <w:tc>
          <w:tcPr>
            <w:tcW w:w="833" w:type="pct"/>
            <w:vAlign w:val="center"/>
          </w:tcPr>
          <w:p w14:paraId="60320645">
            <w:pPr>
              <w:pStyle w:val="14"/>
              <w:jc w:val="center"/>
              <w:rPr>
                <w:rFonts w:ascii="仿宋" w:hAnsi="仿宋" w:eastAsia="仿宋" w:cs="仿宋"/>
              </w:rPr>
            </w:pPr>
            <w:r>
              <w:rPr>
                <w:rFonts w:hint="eastAsia" w:ascii="仿宋" w:hAnsi="仿宋" w:eastAsia="仿宋" w:cs="仿宋"/>
                <w:szCs w:val="21"/>
              </w:rPr>
              <w:t>2018-2021</w:t>
            </w:r>
          </w:p>
        </w:tc>
        <w:tc>
          <w:tcPr>
            <w:tcW w:w="649" w:type="pct"/>
            <w:vAlign w:val="center"/>
          </w:tcPr>
          <w:p w14:paraId="2BBD9347">
            <w:pPr>
              <w:pStyle w:val="14"/>
              <w:jc w:val="center"/>
              <w:rPr>
                <w:rFonts w:ascii="仿宋" w:hAnsi="仿宋" w:eastAsia="仿宋" w:cs="仿宋"/>
              </w:rPr>
            </w:pPr>
            <w:r>
              <w:rPr>
                <w:rFonts w:hint="eastAsia" w:ascii="仿宋" w:hAnsi="仿宋" w:eastAsia="仿宋" w:cs="仿宋"/>
                <w:sz w:val="20"/>
              </w:rPr>
              <w:t>刘  玲</w:t>
            </w:r>
          </w:p>
        </w:tc>
        <w:tc>
          <w:tcPr>
            <w:tcW w:w="743" w:type="pct"/>
            <w:vAlign w:val="center"/>
          </w:tcPr>
          <w:p w14:paraId="77E67001">
            <w:pPr>
              <w:spacing w:before="1"/>
              <w:ind w:left="497" w:right="459"/>
              <w:jc w:val="center"/>
              <w:rPr>
                <w:rFonts w:ascii="仿宋" w:hAnsi="仿宋" w:eastAsia="仿宋" w:cs="仿宋"/>
              </w:rPr>
            </w:pPr>
            <w:r>
              <w:rPr>
                <w:rFonts w:hint="eastAsia" w:ascii="仿宋" w:hAnsi="仿宋" w:eastAsia="仿宋" w:cs="仿宋"/>
                <w:sz w:val="20"/>
              </w:rPr>
              <w:t>240</w:t>
            </w:r>
          </w:p>
        </w:tc>
      </w:tr>
    </w:tbl>
    <w:p w14:paraId="41855E28">
      <w:pPr>
        <w:widowControl/>
        <w:shd w:val="clear" w:color="auto" w:fill="FFFFFF"/>
        <w:spacing w:line="520" w:lineRule="exact"/>
        <w:ind w:firstLine="643" w:firstLineChars="200"/>
        <w:jc w:val="left"/>
        <w:rPr>
          <w:rFonts w:ascii="仿宋" w:hAnsi="仿宋" w:eastAsia="仿宋"/>
          <w:b/>
          <w:sz w:val="32"/>
          <w:szCs w:val="32"/>
        </w:rPr>
      </w:pPr>
      <w:r>
        <w:rPr>
          <w:rFonts w:hint="eastAsia" w:ascii="仿宋" w:hAnsi="仿宋" w:eastAsia="仿宋"/>
          <w:b/>
          <w:sz w:val="32"/>
          <w:szCs w:val="32"/>
        </w:rPr>
        <w:t>2.4教学科研支撑</w:t>
      </w:r>
    </w:p>
    <w:p w14:paraId="46522243">
      <w:pPr>
        <w:snapToGrid w:val="0"/>
        <w:spacing w:line="540" w:lineRule="exact"/>
        <w:ind w:firstLine="672" w:firstLineChars="200"/>
        <w:rPr>
          <w:rFonts w:ascii="仿宋" w:hAnsi="仿宋" w:eastAsia="仿宋"/>
          <w:sz w:val="32"/>
          <w:szCs w:val="32"/>
        </w:rPr>
      </w:pPr>
      <w:r>
        <w:rPr>
          <w:rFonts w:hint="eastAsia" w:ascii="仿宋" w:hAnsi="仿宋" w:eastAsia="仿宋" w:cs="Helvetica"/>
          <w:spacing w:val="8"/>
          <w:kern w:val="2"/>
          <w:sz w:val="32"/>
          <w:szCs w:val="32"/>
        </w:rPr>
        <w:t>本学科及相关学科拥有省级以上科研平台</w:t>
      </w:r>
      <w:r>
        <w:rPr>
          <w:rFonts w:ascii="仿宋" w:hAnsi="仿宋" w:eastAsia="仿宋" w:cs="Helvetica"/>
          <w:spacing w:val="8"/>
          <w:kern w:val="2"/>
          <w:sz w:val="32"/>
          <w:szCs w:val="32"/>
        </w:rPr>
        <w:t>4个，校外实验基地3个。校内实验室总面积</w:t>
      </w:r>
      <w:r>
        <w:rPr>
          <w:rFonts w:hint="eastAsia" w:ascii="仿宋" w:hAnsi="仿宋" w:eastAsia="仿宋" w:cs="Helvetica"/>
          <w:spacing w:val="8"/>
          <w:kern w:val="2"/>
          <w:sz w:val="32"/>
          <w:szCs w:val="32"/>
        </w:rPr>
        <w:t>3</w:t>
      </w:r>
      <w:r>
        <w:rPr>
          <w:rFonts w:ascii="仿宋" w:hAnsi="仿宋" w:eastAsia="仿宋" w:cs="Helvetica"/>
          <w:spacing w:val="8"/>
          <w:kern w:val="2"/>
          <w:sz w:val="32"/>
          <w:szCs w:val="32"/>
        </w:rPr>
        <w:t>000 平方米，20</w:t>
      </w:r>
      <w:bookmarkStart w:id="1" w:name="_GoBack"/>
      <w:bookmarkEnd w:id="1"/>
      <w:r>
        <w:rPr>
          <w:rFonts w:ascii="仿宋" w:hAnsi="仿宋" w:eastAsia="仿宋" w:cs="Helvetica"/>
          <w:spacing w:val="8"/>
          <w:kern w:val="2"/>
          <w:sz w:val="32"/>
          <w:szCs w:val="32"/>
        </w:rPr>
        <w:t>万元以上仪器设备35台件，设备总值4600万元；配备专职实验技术人员2人，实验室规章制度上墙且管理规范，仪器运行状态良好，能完成本学科的主要分析测试任务</w:t>
      </w:r>
      <w:r>
        <w:rPr>
          <w:rFonts w:hint="eastAsia" w:ascii="仿宋" w:hAnsi="仿宋" w:eastAsia="仿宋" w:cs="Helvetica"/>
          <w:spacing w:val="8"/>
          <w:kern w:val="2"/>
          <w:sz w:val="32"/>
          <w:szCs w:val="32"/>
        </w:rPr>
        <w:t>。</w:t>
      </w:r>
    </w:p>
    <w:p w14:paraId="5C39E758">
      <w:pPr>
        <w:widowControl/>
        <w:spacing w:line="520" w:lineRule="exact"/>
        <w:ind w:firstLine="643" w:firstLineChars="200"/>
        <w:jc w:val="left"/>
        <w:rPr>
          <w:rFonts w:ascii="仿宋" w:hAnsi="仿宋" w:eastAsia="仿宋"/>
          <w:b/>
          <w:sz w:val="32"/>
          <w:szCs w:val="32"/>
        </w:rPr>
      </w:pPr>
      <w:r>
        <w:rPr>
          <w:rFonts w:hint="eastAsia" w:ascii="仿宋" w:hAnsi="仿宋" w:eastAsia="仿宋"/>
          <w:b/>
          <w:sz w:val="32"/>
          <w:szCs w:val="32"/>
        </w:rPr>
        <w:t>2.5奖助体系</w:t>
      </w:r>
    </w:p>
    <w:p w14:paraId="1040C73D">
      <w:pPr>
        <w:widowControl/>
        <w:spacing w:line="520" w:lineRule="exact"/>
        <w:ind w:firstLine="640" w:firstLineChars="200"/>
        <w:jc w:val="left"/>
        <w:rPr>
          <w:rFonts w:ascii="仿宋" w:hAnsi="仿宋" w:eastAsia="仿宋"/>
          <w:sz w:val="32"/>
          <w:szCs w:val="32"/>
        </w:rPr>
      </w:pPr>
      <w:r>
        <w:rPr>
          <w:rFonts w:hint="eastAsia" w:ascii="仿宋" w:hAnsi="仿宋" w:eastAsia="仿宋"/>
          <w:sz w:val="32"/>
          <w:szCs w:val="32"/>
        </w:rPr>
        <w:t>学校重视研究生奖助体系的制度建设，出台了《河北大学国家助学金发放办法》《河北大学学业奖学金评审办法》等管理办法和规定，建立了研究生国家奖学金、助学金、学业奖学金等各类型奖学金的奖助体系。</w:t>
      </w:r>
    </w:p>
    <w:p w14:paraId="4EC961C6">
      <w:pPr>
        <w:widowControl/>
        <w:spacing w:line="520" w:lineRule="exact"/>
        <w:ind w:firstLine="640" w:firstLineChars="200"/>
        <w:jc w:val="left"/>
        <w:rPr>
          <w:rFonts w:ascii="仿宋" w:hAnsi="仿宋" w:eastAsia="仿宋"/>
          <w:sz w:val="32"/>
          <w:szCs w:val="32"/>
        </w:rPr>
      </w:pPr>
      <w:r>
        <w:rPr>
          <w:rFonts w:hint="eastAsia" w:ascii="仿宋" w:hAnsi="仿宋" w:eastAsia="仿宋"/>
          <w:sz w:val="32"/>
          <w:szCs w:val="32"/>
        </w:rPr>
        <w:t>2020年共发放了奖学金39.4万（77人次），助学金51万（85人次），助学金全面覆盖，奖学金覆盖率百分之90以上。</w:t>
      </w:r>
    </w:p>
    <w:p w14:paraId="08F6B06B">
      <w:pPr>
        <w:widowControl/>
        <w:spacing w:line="520" w:lineRule="exact"/>
        <w:ind w:firstLine="643" w:firstLineChars="200"/>
        <w:jc w:val="left"/>
        <w:rPr>
          <w:rFonts w:ascii="仿宋" w:hAnsi="仿宋" w:eastAsia="仿宋"/>
          <w:b/>
          <w:sz w:val="32"/>
          <w:szCs w:val="32"/>
        </w:rPr>
      </w:pPr>
      <w:r>
        <w:rPr>
          <w:rFonts w:hint="eastAsia" w:ascii="仿宋" w:hAnsi="仿宋" w:eastAsia="仿宋"/>
          <w:b/>
          <w:sz w:val="32"/>
          <w:szCs w:val="32"/>
        </w:rPr>
        <w:t>三、人才培养</w:t>
      </w:r>
    </w:p>
    <w:p w14:paraId="29A3F7BF">
      <w:pPr>
        <w:widowControl/>
        <w:spacing w:line="520" w:lineRule="exact"/>
        <w:ind w:firstLine="643" w:firstLineChars="200"/>
        <w:jc w:val="left"/>
        <w:rPr>
          <w:rFonts w:ascii="仿宋" w:hAnsi="仿宋" w:eastAsia="仿宋"/>
          <w:b/>
          <w:sz w:val="32"/>
          <w:szCs w:val="32"/>
        </w:rPr>
      </w:pPr>
      <w:r>
        <w:rPr>
          <w:rFonts w:hint="eastAsia" w:ascii="仿宋" w:hAnsi="仿宋" w:eastAsia="仿宋"/>
          <w:b/>
          <w:sz w:val="32"/>
          <w:szCs w:val="32"/>
        </w:rPr>
        <w:t>3.1招生选拔</w:t>
      </w:r>
    </w:p>
    <w:p w14:paraId="5686A337">
      <w:pPr>
        <w:widowControl/>
        <w:spacing w:line="520" w:lineRule="exact"/>
        <w:ind w:firstLine="640" w:firstLineChars="200"/>
        <w:jc w:val="left"/>
        <w:rPr>
          <w:rFonts w:ascii="仿宋" w:hAnsi="仿宋" w:eastAsia="仿宋"/>
          <w:sz w:val="32"/>
          <w:szCs w:val="32"/>
        </w:rPr>
      </w:pPr>
      <w:r>
        <w:rPr>
          <w:rFonts w:hint="eastAsia" w:ascii="仿宋" w:hAnsi="仿宋" w:eastAsia="仿宋"/>
          <w:sz w:val="32"/>
          <w:szCs w:val="32"/>
        </w:rPr>
        <w:t>2020年，相近学科共录取博士研究生106人，本学科共录取硕士研究生66人。围绕“综合评价、多元择优、因材施招、促进公平”的人才选拔理念，结合自身办学特色和人才培养需要，开展各项研究生招生工作。为保证生源质量采取的措施：加强招生宣传力度，扩大学校影响；规范接受校内、外推荐免试生工作流程；重视研究生复试工作，坚持择优录取、保证质量的原则，科学选拔、全面考察，特别是突出考核考生的综合素质。</w:t>
      </w:r>
    </w:p>
    <w:p w14:paraId="4DDB8735">
      <w:pPr>
        <w:widowControl/>
        <w:spacing w:line="360" w:lineRule="auto"/>
        <w:ind w:firstLine="643" w:firstLineChars="200"/>
        <w:jc w:val="left"/>
        <w:rPr>
          <w:rFonts w:ascii="仿宋" w:hAnsi="仿宋" w:eastAsia="仿宋"/>
          <w:b/>
          <w:sz w:val="32"/>
          <w:szCs w:val="32"/>
        </w:rPr>
      </w:pPr>
      <w:r>
        <w:rPr>
          <w:rFonts w:hint="eastAsia" w:ascii="仿宋" w:hAnsi="仿宋" w:eastAsia="仿宋"/>
          <w:b/>
          <w:sz w:val="32"/>
          <w:szCs w:val="32"/>
        </w:rPr>
        <w:t>3.2 思政教育</w:t>
      </w:r>
    </w:p>
    <w:p w14:paraId="3118A6EB">
      <w:pPr>
        <w:widowControl/>
        <w:spacing w:line="360" w:lineRule="auto"/>
        <w:ind w:firstLine="640" w:firstLineChars="200"/>
        <w:jc w:val="left"/>
        <w:rPr>
          <w:rFonts w:ascii="仿宋" w:hAnsi="仿宋" w:eastAsia="仿宋"/>
          <w:bCs/>
          <w:sz w:val="32"/>
          <w:szCs w:val="32"/>
        </w:rPr>
      </w:pPr>
      <w:r>
        <w:rPr>
          <w:rFonts w:ascii="仿宋" w:hAnsi="仿宋" w:eastAsia="仿宋"/>
          <w:bCs/>
          <w:sz w:val="32"/>
          <w:szCs w:val="32"/>
        </w:rPr>
        <w:t>1</w:t>
      </w:r>
      <w:r>
        <w:rPr>
          <w:rFonts w:hint="eastAsia" w:ascii="仿宋" w:hAnsi="仿宋" w:eastAsia="仿宋"/>
          <w:bCs/>
          <w:sz w:val="32"/>
          <w:szCs w:val="32"/>
        </w:rPr>
        <w:t>、通过理论学习永葆党员先进性</w:t>
      </w:r>
    </w:p>
    <w:p w14:paraId="68B3222F">
      <w:pPr>
        <w:widowControl/>
        <w:spacing w:line="360" w:lineRule="auto"/>
        <w:ind w:firstLine="640" w:firstLineChars="200"/>
        <w:jc w:val="left"/>
        <w:rPr>
          <w:rFonts w:ascii="仿宋" w:hAnsi="仿宋" w:eastAsia="仿宋"/>
          <w:bCs/>
          <w:sz w:val="32"/>
          <w:szCs w:val="32"/>
        </w:rPr>
      </w:pPr>
      <w:r>
        <w:rPr>
          <w:rFonts w:hint="eastAsia" w:ascii="仿宋" w:hAnsi="仿宋" w:eastAsia="仿宋"/>
          <w:bCs/>
          <w:sz w:val="32"/>
          <w:szCs w:val="32"/>
        </w:rPr>
        <w:t>通过定期组织“三会一课”学习交流活动，举办了“习近平谈爱国主义教育”主题党日、“学习新思想，走进新征程”专题党课、“立德树人筑牢信念之基”专题党课等。今年的疫情发生以来，研究生支部积极贯彻落实党委的各项决定，支委会届时线上完成各项工作的安排，多次召开疫情防控主题党日，并进行了“三问三思”战疫主题交流会，鼓励党员积极配合当地疫情防控工作，切实发挥党支部战斗堡垒作用和党员先锋模范作用，部分主动报名参加当地疫情防控相关工作，在做好自身防控的同时，投身各项志愿服务工作中，表现出色，被评为河北大学疫情防控志愿服务工作先进个人，用实际行动展现了优秀共产党员的先锋本色，为坚决打赢疫情防控阻击战贡献出了自己的一份力量。</w:t>
      </w:r>
    </w:p>
    <w:p w14:paraId="5223F2FC">
      <w:pPr>
        <w:widowControl/>
        <w:spacing w:line="360" w:lineRule="auto"/>
        <w:ind w:firstLine="640" w:firstLineChars="200"/>
        <w:jc w:val="left"/>
        <w:rPr>
          <w:rFonts w:ascii="仿宋" w:hAnsi="仿宋" w:eastAsia="仿宋"/>
          <w:bCs/>
          <w:sz w:val="32"/>
          <w:szCs w:val="32"/>
        </w:rPr>
      </w:pPr>
      <w:r>
        <w:rPr>
          <w:rFonts w:ascii="仿宋" w:hAnsi="仿宋" w:eastAsia="仿宋"/>
          <w:bCs/>
          <w:sz w:val="32"/>
          <w:szCs w:val="32"/>
        </w:rPr>
        <w:t>2</w:t>
      </w:r>
      <w:r>
        <w:rPr>
          <w:rFonts w:hint="eastAsia" w:ascii="仿宋" w:hAnsi="仿宋" w:eastAsia="仿宋"/>
          <w:bCs/>
          <w:sz w:val="32"/>
          <w:szCs w:val="32"/>
        </w:rPr>
        <w:t>、提高工作能力开创工作新思路</w:t>
      </w:r>
    </w:p>
    <w:p w14:paraId="44275C31">
      <w:pPr>
        <w:widowControl/>
        <w:spacing w:line="360" w:lineRule="auto"/>
        <w:ind w:firstLine="640" w:firstLineChars="200"/>
        <w:jc w:val="left"/>
        <w:rPr>
          <w:rFonts w:ascii="仿宋" w:hAnsi="仿宋" w:eastAsia="仿宋"/>
          <w:sz w:val="32"/>
          <w:szCs w:val="32"/>
        </w:rPr>
      </w:pPr>
      <w:r>
        <w:rPr>
          <w:rFonts w:hint="eastAsia" w:ascii="仿宋" w:hAnsi="仿宋" w:eastAsia="仿宋"/>
          <w:bCs/>
          <w:sz w:val="32"/>
          <w:szCs w:val="32"/>
        </w:rPr>
        <w:t>创新思想政治教育方法，辅导员、专业课教师以及学校管理人员与学生“零距离”沟通，教师对思政育人重视程度显著增强，思政融入育人工作全过程，把思政育人工作摆在人才培养的重要位置，把握社会主义核心价值体系，使师生对党和国家大政方针更加了解，对世情、国情、党情更加了解</w:t>
      </w:r>
      <w:r>
        <w:rPr>
          <w:rFonts w:hint="eastAsia" w:ascii="仿宋" w:hAnsi="仿宋" w:eastAsia="仿宋"/>
          <w:sz w:val="32"/>
          <w:szCs w:val="32"/>
        </w:rPr>
        <w:t>。</w:t>
      </w:r>
    </w:p>
    <w:p w14:paraId="2AD93AEA">
      <w:pPr>
        <w:widowControl/>
        <w:spacing w:line="360" w:lineRule="auto"/>
        <w:ind w:firstLine="643" w:firstLineChars="200"/>
        <w:jc w:val="left"/>
        <w:rPr>
          <w:rFonts w:ascii="仿宋" w:hAnsi="仿宋" w:eastAsia="仿宋"/>
          <w:b/>
          <w:sz w:val="32"/>
          <w:szCs w:val="32"/>
        </w:rPr>
      </w:pPr>
      <w:r>
        <w:rPr>
          <w:rFonts w:hint="eastAsia" w:ascii="仿宋" w:hAnsi="仿宋" w:eastAsia="仿宋"/>
          <w:b/>
          <w:sz w:val="32"/>
          <w:szCs w:val="32"/>
        </w:rPr>
        <w:t>3.3课程教学</w:t>
      </w:r>
    </w:p>
    <w:p w14:paraId="702775F0">
      <w:pPr>
        <w:autoSpaceDE w:val="0"/>
        <w:autoSpaceDN w:val="0"/>
        <w:spacing w:line="360" w:lineRule="auto"/>
        <w:ind w:firstLine="555"/>
        <w:jc w:val="left"/>
        <w:textAlignment w:val="auto"/>
        <w:rPr>
          <w:rFonts w:ascii="仿宋" w:hAnsi="仿宋" w:eastAsia="仿宋" w:cs="宋体"/>
          <w:sz w:val="32"/>
          <w:szCs w:val="32"/>
        </w:rPr>
      </w:pPr>
      <w:r>
        <w:rPr>
          <w:rFonts w:hint="eastAsia" w:ascii="仿宋" w:hAnsi="仿宋" w:eastAsia="仿宋" w:cs="宋体"/>
          <w:sz w:val="32"/>
          <w:szCs w:val="32"/>
        </w:rPr>
        <w:t>本学位点以培养目标为指导，制定了较为科学完备的人才培养方案和课程教学安排。为了进一步加强内涵建设，提升办学水平，提高教育教学质量，着重实际，求实效的原则，注重过程评价与质量评价。</w:t>
      </w:r>
    </w:p>
    <w:p w14:paraId="3E59090F">
      <w:pPr>
        <w:autoSpaceDE w:val="0"/>
        <w:autoSpaceDN w:val="0"/>
        <w:spacing w:line="360" w:lineRule="auto"/>
        <w:ind w:firstLine="555"/>
        <w:jc w:val="left"/>
        <w:textAlignment w:val="auto"/>
        <w:rPr>
          <w:rFonts w:ascii="仿宋" w:hAnsi="仿宋" w:eastAsia="仿宋" w:cs="宋体"/>
          <w:sz w:val="32"/>
          <w:szCs w:val="32"/>
        </w:rPr>
      </w:pPr>
      <w:r>
        <w:rPr>
          <w:rFonts w:hint="eastAsia" w:ascii="仿宋" w:hAnsi="仿宋" w:eastAsia="仿宋" w:cs="宋体"/>
          <w:sz w:val="32"/>
          <w:szCs w:val="32"/>
        </w:rPr>
        <w:t>课程教学改革上：充分利用各类平台提供的教学资源，结合课程的讲义以及PPT等材料及时给学生提供辅助资料；注重教学设计，合理安排课堂讲授、视频学习以及在线交流互动的时间，调动学生主动参与课堂和自主学习的积极性；加强对重点知识点的把握及梳理，帮助学生形成头脑中的知识建构，巩固学习效果；强化教师课堂教学反思，教研活动中积极交流分享经验，及时进行教学方法的更新，从而更好的促进教学。</w:t>
      </w:r>
    </w:p>
    <w:p w14:paraId="5CFD3137">
      <w:pPr>
        <w:widowControl/>
        <w:spacing w:line="360" w:lineRule="auto"/>
        <w:ind w:firstLine="640" w:firstLineChars="200"/>
        <w:jc w:val="left"/>
        <w:rPr>
          <w:rFonts w:ascii="仿宋" w:hAnsi="仿宋" w:eastAsia="仿宋"/>
          <w:sz w:val="32"/>
          <w:szCs w:val="32"/>
        </w:rPr>
      </w:pPr>
      <w:r>
        <w:rPr>
          <w:rFonts w:hint="eastAsia" w:ascii="仿宋" w:hAnsi="仿宋" w:eastAsia="仿宋" w:cs="宋体"/>
          <w:sz w:val="32"/>
          <w:szCs w:val="32"/>
        </w:rPr>
        <w:t>质量督导的创新做法：重实际，加强过程管理加大随机督导在年度评比中的比重；加大随机督导力度，不定期的对学校的日常管理工作和落实责任制情况进行随机督导，每次随机督导发现的问题除要求学校认真整改之外，都详细记录在案，作为下次随机督导的重点，实行跟踪检查；把督导信息的发布纳入年终考核内容，同时利用督导网信息公告的平台，及时掌握各校教育重点工作进展的新动态，并将各校日常发布的工作信息与年末各校的工作总结对照，确保各项重点工作按时开展；通过问卷与一线教师召开座谈会，看教师对素质教育理念的理解和认识是否到位；加大了执行教学常规的督查力度，从学校执行课程标准到教师的教案、作业批改、课堂等都是随机督导检查的重要内容；通过责任区督学机制，积极参与学校的教科研工作，了解和掌握教科研工作的新动态。</w:t>
      </w:r>
    </w:p>
    <w:p w14:paraId="10CBEEF4">
      <w:pPr>
        <w:widowControl/>
        <w:shd w:val="clear" w:color="auto" w:fill="FFFFFF"/>
        <w:spacing w:line="360" w:lineRule="auto"/>
        <w:ind w:firstLine="643" w:firstLineChars="200"/>
        <w:jc w:val="left"/>
        <w:rPr>
          <w:rFonts w:ascii="仿宋" w:hAnsi="仿宋" w:eastAsia="仿宋"/>
          <w:b/>
          <w:sz w:val="32"/>
          <w:szCs w:val="32"/>
        </w:rPr>
      </w:pPr>
      <w:r>
        <w:rPr>
          <w:rFonts w:hint="eastAsia" w:ascii="仿宋" w:hAnsi="仿宋" w:eastAsia="仿宋"/>
          <w:b/>
          <w:sz w:val="32"/>
          <w:szCs w:val="32"/>
        </w:rPr>
        <w:t>3.4导师指导</w:t>
      </w:r>
    </w:p>
    <w:p w14:paraId="21E7857E">
      <w:pPr>
        <w:autoSpaceDE w:val="0"/>
        <w:autoSpaceDN w:val="0"/>
        <w:spacing w:line="360" w:lineRule="auto"/>
        <w:ind w:firstLine="640" w:firstLineChars="200"/>
        <w:jc w:val="left"/>
        <w:textAlignment w:val="auto"/>
        <w:rPr>
          <w:rFonts w:ascii="仿宋" w:hAnsi="仿宋" w:eastAsia="仿宋" w:cs="宋体"/>
          <w:sz w:val="32"/>
          <w:szCs w:val="32"/>
        </w:rPr>
      </w:pPr>
      <w:r>
        <w:rPr>
          <w:rFonts w:hint="eastAsia" w:ascii="仿宋" w:hAnsi="仿宋" w:eastAsia="仿宋" w:cs="宋体"/>
          <w:sz w:val="32"/>
          <w:szCs w:val="32"/>
        </w:rPr>
        <w:t xml:space="preserve">    1、健全体制机制</w:t>
      </w:r>
    </w:p>
    <w:p w14:paraId="45E08742">
      <w:pPr>
        <w:autoSpaceDE w:val="0"/>
        <w:autoSpaceDN w:val="0"/>
        <w:spacing w:line="360" w:lineRule="auto"/>
        <w:ind w:firstLine="640" w:firstLineChars="200"/>
        <w:jc w:val="left"/>
        <w:textAlignment w:val="auto"/>
        <w:rPr>
          <w:rFonts w:ascii="仿宋" w:hAnsi="仿宋" w:eastAsia="仿宋" w:cs="宋体"/>
          <w:sz w:val="32"/>
          <w:szCs w:val="32"/>
        </w:rPr>
      </w:pPr>
      <w:r>
        <w:rPr>
          <w:rFonts w:hint="eastAsia" w:ascii="仿宋" w:hAnsi="仿宋" w:eastAsia="仿宋" w:cs="宋体"/>
          <w:sz w:val="32"/>
          <w:szCs w:val="32"/>
        </w:rPr>
        <w:t>遵照学校学院师德师风建设要求，认真贯彻落实《河北大学关于进一步加强和改进师德师风建设的实施意见》《河北大学研究生导师立德树人实施细则》《河北大学师德师风考核办法》《河北大学师德失范行为负面清单及处理办法》，认真遵行《新时代高校教师职业行为十项准则》要求。将师德师风监督管理列入各位任课教师责任清单，对违反师德师风的行为及时惩处。</w:t>
      </w:r>
    </w:p>
    <w:p w14:paraId="5CD91073">
      <w:pPr>
        <w:autoSpaceDE w:val="0"/>
        <w:autoSpaceDN w:val="0"/>
        <w:spacing w:line="360" w:lineRule="auto"/>
        <w:ind w:firstLine="640" w:firstLineChars="200"/>
        <w:jc w:val="left"/>
        <w:textAlignment w:val="auto"/>
        <w:rPr>
          <w:rFonts w:ascii="仿宋" w:hAnsi="仿宋" w:eastAsia="仿宋" w:cs="宋体"/>
          <w:sz w:val="32"/>
          <w:szCs w:val="32"/>
        </w:rPr>
      </w:pPr>
      <w:r>
        <w:rPr>
          <w:rFonts w:hint="eastAsia" w:ascii="仿宋" w:hAnsi="仿宋" w:eastAsia="仿宋" w:cs="宋体"/>
          <w:sz w:val="32"/>
          <w:szCs w:val="32"/>
        </w:rPr>
        <w:t>2、加强教师培训</w:t>
      </w:r>
    </w:p>
    <w:p w14:paraId="7029B4F1">
      <w:pPr>
        <w:autoSpaceDE w:val="0"/>
        <w:autoSpaceDN w:val="0"/>
        <w:spacing w:line="360" w:lineRule="auto"/>
        <w:ind w:firstLine="640" w:firstLineChars="200"/>
        <w:jc w:val="left"/>
        <w:textAlignment w:val="auto"/>
        <w:rPr>
          <w:rFonts w:ascii="仿宋" w:hAnsi="仿宋" w:eastAsia="仿宋" w:cs="宋体"/>
          <w:sz w:val="32"/>
          <w:szCs w:val="32"/>
        </w:rPr>
      </w:pPr>
      <w:r>
        <w:rPr>
          <w:rFonts w:hint="eastAsia" w:ascii="仿宋" w:hAnsi="仿宋" w:eastAsia="仿宋" w:cs="宋体"/>
          <w:sz w:val="32"/>
          <w:szCs w:val="32"/>
        </w:rPr>
        <w:t>每年定期组织新教师岗前培训工作和常规培训，将师德教育纳入培训计划，并根据需要组织专项培训，重点提升教师师德素养、教学技能、信息技术等。建立了新入职教师授课前“</w:t>
      </w:r>
      <w:r>
        <w:rPr>
          <w:rFonts w:ascii="仿宋" w:hAnsi="仿宋" w:eastAsia="仿宋" w:cs="宋体"/>
          <w:sz w:val="32"/>
          <w:szCs w:val="32"/>
        </w:rPr>
        <w:t>2+1</w:t>
      </w:r>
      <w:r>
        <w:rPr>
          <w:rFonts w:hint="eastAsia" w:ascii="仿宋" w:hAnsi="仿宋" w:eastAsia="仿宋" w:cs="宋体"/>
          <w:sz w:val="32"/>
          <w:szCs w:val="32"/>
        </w:rPr>
        <w:t>”帮带制度、青年教师循环讲课制度、讲课大赛等方式使青年教师迅速成长，提高教学质量。</w:t>
      </w:r>
    </w:p>
    <w:p w14:paraId="20E6D7EF">
      <w:pPr>
        <w:autoSpaceDE w:val="0"/>
        <w:autoSpaceDN w:val="0"/>
        <w:spacing w:line="360" w:lineRule="auto"/>
        <w:ind w:firstLine="640" w:firstLineChars="200"/>
        <w:jc w:val="left"/>
        <w:textAlignment w:val="auto"/>
        <w:rPr>
          <w:rFonts w:ascii="仿宋" w:hAnsi="仿宋" w:eastAsia="仿宋" w:cs="宋体"/>
          <w:sz w:val="32"/>
          <w:szCs w:val="32"/>
        </w:rPr>
      </w:pPr>
      <w:r>
        <w:rPr>
          <w:rFonts w:hint="eastAsia" w:ascii="仿宋" w:hAnsi="仿宋" w:eastAsia="仿宋" w:cs="宋体"/>
          <w:sz w:val="32"/>
          <w:szCs w:val="32"/>
        </w:rPr>
        <w:t>3、加强教材管理</w:t>
      </w:r>
    </w:p>
    <w:p w14:paraId="60277DED">
      <w:pPr>
        <w:autoSpaceDE w:val="0"/>
        <w:autoSpaceDN w:val="0"/>
        <w:spacing w:line="360" w:lineRule="auto"/>
        <w:ind w:firstLine="640" w:firstLineChars="200"/>
        <w:jc w:val="left"/>
        <w:textAlignment w:val="auto"/>
        <w:rPr>
          <w:rFonts w:ascii="仿宋" w:hAnsi="仿宋" w:eastAsia="仿宋" w:cs="宋体"/>
          <w:sz w:val="32"/>
          <w:szCs w:val="32"/>
        </w:rPr>
      </w:pPr>
      <w:r>
        <w:rPr>
          <w:rFonts w:hint="eastAsia" w:ascii="仿宋" w:hAnsi="仿宋" w:eastAsia="仿宋" w:cs="宋体"/>
          <w:sz w:val="32"/>
          <w:szCs w:val="32"/>
        </w:rPr>
        <w:t>根据《河北大学本科教材建设管理办法》，全面贯彻党的教育方针，坚持立德树人，坚持“编选并重、锤炼精品”，根据学科发展和教学需要，不断更新教学内容，全面提高教材编写和选用质量，确保优质教材进入课堂。每学期组织一次教材遴选使用工作，选定学科专业课程教学教材，组织专家论证，把牢教材选用质量关，注重教材选用评价，加强教材选用质量监控和评价工作，推进教材使用工作的规范化管理。</w:t>
      </w:r>
    </w:p>
    <w:p w14:paraId="362E0EF0">
      <w:pPr>
        <w:autoSpaceDE w:val="0"/>
        <w:autoSpaceDN w:val="0"/>
        <w:spacing w:line="360" w:lineRule="auto"/>
        <w:ind w:firstLine="640" w:firstLineChars="200"/>
        <w:jc w:val="left"/>
        <w:textAlignment w:val="auto"/>
        <w:rPr>
          <w:rFonts w:ascii="仿宋" w:hAnsi="仿宋" w:eastAsia="仿宋" w:cs="宋体"/>
          <w:sz w:val="32"/>
          <w:szCs w:val="32"/>
        </w:rPr>
      </w:pPr>
      <w:r>
        <w:rPr>
          <w:rFonts w:hint="eastAsia" w:ascii="仿宋" w:hAnsi="仿宋" w:eastAsia="仿宋" w:cs="宋体"/>
          <w:sz w:val="32"/>
          <w:szCs w:val="32"/>
        </w:rPr>
        <w:t>4、规范教师授课</w:t>
      </w:r>
    </w:p>
    <w:p w14:paraId="4510311F">
      <w:pPr>
        <w:autoSpaceDE w:val="0"/>
        <w:autoSpaceDN w:val="0"/>
        <w:spacing w:line="360" w:lineRule="auto"/>
        <w:ind w:firstLine="640" w:firstLineChars="200"/>
        <w:jc w:val="left"/>
        <w:textAlignment w:val="auto"/>
        <w:rPr>
          <w:rFonts w:ascii="仿宋" w:hAnsi="仿宋" w:eastAsia="仿宋" w:cs="宋体"/>
          <w:sz w:val="32"/>
          <w:szCs w:val="32"/>
        </w:rPr>
      </w:pPr>
      <w:r>
        <w:rPr>
          <w:rFonts w:hint="eastAsia" w:ascii="仿宋" w:hAnsi="仿宋" w:eastAsia="仿宋" w:cs="宋体"/>
          <w:sz w:val="32"/>
          <w:szCs w:val="32"/>
        </w:rPr>
        <w:t>根据《河北大学课堂教学管理规范》，在备课、授课、作业答疑、考核、实验操作、学习等课堂各环节规范师生的言行，认真贯彻落实立德树人根本任务。实施教师课程教学优秀评价和新入职教师教学合格达标评价工作，对于听课过程中发现的教师失范行为，或因教学事故受到学院或学校通报批评及以上处理者，实行“一票否决”。</w:t>
      </w:r>
    </w:p>
    <w:p w14:paraId="65C192BA">
      <w:pPr>
        <w:autoSpaceDE w:val="0"/>
        <w:autoSpaceDN w:val="0"/>
        <w:spacing w:line="360" w:lineRule="auto"/>
        <w:ind w:firstLine="640" w:firstLineChars="200"/>
        <w:jc w:val="left"/>
        <w:textAlignment w:val="auto"/>
        <w:rPr>
          <w:rFonts w:ascii="仿宋" w:hAnsi="仿宋" w:eastAsia="仿宋" w:cs="宋体"/>
          <w:sz w:val="32"/>
          <w:szCs w:val="32"/>
        </w:rPr>
      </w:pPr>
      <w:r>
        <w:rPr>
          <w:rFonts w:hint="eastAsia" w:ascii="仿宋" w:hAnsi="仿宋" w:eastAsia="仿宋" w:cs="宋体"/>
          <w:sz w:val="32"/>
          <w:szCs w:val="32"/>
        </w:rPr>
        <w:t>5、加强教学督导</w:t>
      </w:r>
    </w:p>
    <w:p w14:paraId="364D8E71">
      <w:pPr>
        <w:autoSpaceDE w:val="0"/>
        <w:autoSpaceDN w:val="0"/>
        <w:spacing w:line="360" w:lineRule="auto"/>
        <w:ind w:firstLine="555"/>
        <w:jc w:val="left"/>
        <w:textAlignment w:val="auto"/>
        <w:rPr>
          <w:rFonts w:ascii="仿宋" w:hAnsi="仿宋" w:eastAsia="仿宋" w:cs="宋体"/>
          <w:sz w:val="32"/>
          <w:szCs w:val="32"/>
        </w:rPr>
      </w:pPr>
      <w:r>
        <w:rPr>
          <w:rFonts w:hint="eastAsia" w:ascii="仿宋" w:hAnsi="仿宋" w:eastAsia="仿宋" w:cs="宋体"/>
          <w:sz w:val="32"/>
          <w:szCs w:val="32"/>
        </w:rPr>
        <w:t>建成院级领导班子成员、教学督导、教师同行和学生信息员</w:t>
      </w:r>
      <w:r>
        <w:rPr>
          <w:rFonts w:ascii="仿宋" w:hAnsi="仿宋" w:eastAsia="仿宋" w:cs="宋体"/>
          <w:sz w:val="32"/>
          <w:szCs w:val="32"/>
        </w:rPr>
        <w:t xml:space="preserve">6 </w:t>
      </w:r>
      <w:r>
        <w:rPr>
          <w:rFonts w:hint="eastAsia" w:ascii="仿宋" w:hAnsi="仿宋" w:eastAsia="仿宋" w:cs="宋体"/>
          <w:sz w:val="32"/>
          <w:szCs w:val="32"/>
        </w:rPr>
        <w:t>支队伍构成课堂教学质量监督体系，保证一名任课教师至少在一学年被听</w:t>
      </w:r>
      <w:r>
        <w:rPr>
          <w:rFonts w:ascii="仿宋" w:hAnsi="仿宋" w:eastAsia="仿宋" w:cs="宋体"/>
          <w:sz w:val="32"/>
          <w:szCs w:val="32"/>
        </w:rPr>
        <w:t xml:space="preserve">1 </w:t>
      </w:r>
      <w:r>
        <w:rPr>
          <w:rFonts w:hint="eastAsia" w:ascii="仿宋" w:hAnsi="仿宋" w:eastAsia="仿宋" w:cs="宋体"/>
          <w:sz w:val="32"/>
          <w:szCs w:val="32"/>
        </w:rPr>
        <w:t>次。除对教学中存在的问题当场反馈外，还将各级督导、院领导、同行教师听课、学生评教、学生信息员反馈的信息，集中教学周检查等信息进行归类，及时反馈给相应教师。</w:t>
      </w:r>
    </w:p>
    <w:p w14:paraId="62B6B620">
      <w:pPr>
        <w:spacing w:line="360" w:lineRule="auto"/>
        <w:ind w:firstLine="643" w:firstLineChars="200"/>
        <w:jc w:val="left"/>
        <w:rPr>
          <w:rFonts w:ascii="仿宋" w:hAnsi="仿宋" w:eastAsia="仿宋"/>
          <w:b/>
          <w:sz w:val="32"/>
          <w:szCs w:val="32"/>
        </w:rPr>
      </w:pPr>
      <w:r>
        <w:rPr>
          <w:rFonts w:hint="eastAsia" w:ascii="仿宋" w:hAnsi="仿宋" w:eastAsia="仿宋"/>
          <w:b/>
          <w:sz w:val="32"/>
          <w:szCs w:val="32"/>
        </w:rPr>
        <w:t>3.5学术训练</w:t>
      </w:r>
    </w:p>
    <w:p w14:paraId="5E344D77">
      <w:pPr>
        <w:autoSpaceDE w:val="0"/>
        <w:autoSpaceDN w:val="0"/>
        <w:spacing w:line="360" w:lineRule="auto"/>
        <w:ind w:firstLine="555"/>
        <w:jc w:val="left"/>
        <w:textAlignment w:val="auto"/>
        <w:rPr>
          <w:rFonts w:ascii="仿宋" w:hAnsi="仿宋" w:eastAsia="仿宋" w:cs="宋体"/>
          <w:sz w:val="32"/>
          <w:szCs w:val="32"/>
        </w:rPr>
      </w:pPr>
      <w:r>
        <w:rPr>
          <w:rFonts w:hint="eastAsia" w:ascii="仿宋" w:hAnsi="仿宋" w:eastAsia="仿宋" w:cs="宋体"/>
          <w:sz w:val="32"/>
          <w:szCs w:val="32"/>
        </w:rPr>
        <w:t>1)通过研究理论创新，为环境科学与工程理论不断做出学术贡献;2)立德树人，自觉把论文写在燕赵大地上;3)扩大影响，实现研究成果广泛社会传播;4)发挥高校优势，培养优秀人才，弘扬文化传统;5)积极组织和参与学科学术交流活动。</w:t>
      </w:r>
    </w:p>
    <w:p w14:paraId="61014A3E">
      <w:pPr>
        <w:autoSpaceDE w:val="0"/>
        <w:autoSpaceDN w:val="0"/>
        <w:spacing w:line="360" w:lineRule="auto"/>
        <w:ind w:firstLine="555"/>
        <w:jc w:val="left"/>
        <w:textAlignment w:val="auto"/>
        <w:rPr>
          <w:rFonts w:ascii="仿宋" w:hAnsi="仿宋" w:eastAsia="仿宋" w:cs="宋体"/>
          <w:sz w:val="32"/>
          <w:szCs w:val="32"/>
        </w:rPr>
      </w:pPr>
      <w:r>
        <w:rPr>
          <w:rFonts w:hint="eastAsia" w:ascii="仿宋" w:hAnsi="仿宋" w:eastAsia="仿宋" w:cs="宋体"/>
          <w:sz w:val="32"/>
          <w:szCs w:val="32"/>
        </w:rPr>
        <w:t>本学科及相关化学学科五年间承担科研项目42项，到位总经费合计5001万元，其中国家级、省部级科研项目26项；师均科研经费每年62.5万元。师均每年取得1.9项高水平学术成果。获省部级及以上级科技奖励5项，产生的经济效益显著，为河北省经济建设和环境发展做出巨大贡献。</w:t>
      </w:r>
    </w:p>
    <w:p w14:paraId="0D04B7B8">
      <w:pPr>
        <w:autoSpaceDE w:val="0"/>
        <w:autoSpaceDN w:val="0"/>
        <w:spacing w:line="360" w:lineRule="auto"/>
        <w:ind w:firstLine="555"/>
        <w:jc w:val="left"/>
        <w:textAlignment w:val="auto"/>
        <w:rPr>
          <w:rFonts w:ascii="仿宋" w:hAnsi="仿宋" w:eastAsia="仿宋" w:cs="宋体"/>
          <w:sz w:val="32"/>
          <w:szCs w:val="32"/>
        </w:rPr>
      </w:pPr>
      <w:r>
        <w:rPr>
          <w:rFonts w:hint="eastAsia" w:ascii="仿宋" w:hAnsi="仿宋" w:eastAsia="仿宋" w:cs="宋体"/>
          <w:sz w:val="32"/>
          <w:szCs w:val="32"/>
        </w:rPr>
        <w:t>近年来，80%研究生参与省部级以上科研项目，研究生发表核心期刊论文68篇，其中SCI收录29篇，EI收录7篇，每年有3~5名毕业硕士研究生继续攻读博士学位，毕业生就业率100%。</w:t>
      </w:r>
    </w:p>
    <w:p w14:paraId="38DE1616">
      <w:pPr>
        <w:spacing w:line="360" w:lineRule="auto"/>
        <w:ind w:firstLine="643" w:firstLineChars="200"/>
        <w:jc w:val="left"/>
        <w:rPr>
          <w:rFonts w:ascii="仿宋" w:hAnsi="仿宋" w:eastAsia="仿宋"/>
          <w:b/>
          <w:sz w:val="32"/>
          <w:szCs w:val="32"/>
        </w:rPr>
      </w:pPr>
      <w:r>
        <w:rPr>
          <w:rFonts w:hint="eastAsia" w:ascii="仿宋" w:hAnsi="仿宋" w:eastAsia="仿宋"/>
          <w:b/>
          <w:sz w:val="32"/>
          <w:szCs w:val="32"/>
        </w:rPr>
        <w:t>3.6学术交流</w:t>
      </w:r>
    </w:p>
    <w:p w14:paraId="7DB608F5">
      <w:pPr>
        <w:autoSpaceDE w:val="0"/>
        <w:autoSpaceDN w:val="0"/>
        <w:spacing w:line="360" w:lineRule="auto"/>
        <w:ind w:firstLine="555"/>
        <w:jc w:val="left"/>
        <w:textAlignment w:val="auto"/>
        <w:rPr>
          <w:rFonts w:ascii="仿宋" w:hAnsi="仿宋" w:eastAsia="仿宋"/>
          <w:sz w:val="32"/>
          <w:szCs w:val="32"/>
        </w:rPr>
      </w:pPr>
      <w:r>
        <w:rPr>
          <w:rFonts w:hint="eastAsia" w:ascii="仿宋" w:hAnsi="仿宋" w:eastAsia="仿宋"/>
          <w:sz w:val="32"/>
          <w:szCs w:val="32"/>
        </w:rPr>
        <w:t>无</w:t>
      </w:r>
    </w:p>
    <w:p w14:paraId="1403E720">
      <w:pPr>
        <w:autoSpaceDE w:val="0"/>
        <w:autoSpaceDN w:val="0"/>
        <w:spacing w:line="360" w:lineRule="auto"/>
        <w:ind w:firstLine="555"/>
        <w:jc w:val="left"/>
        <w:textAlignment w:val="auto"/>
        <w:rPr>
          <w:rFonts w:ascii="仿宋" w:hAnsi="仿宋" w:eastAsia="仿宋" w:cs="宋体"/>
          <w:sz w:val="32"/>
          <w:szCs w:val="32"/>
        </w:rPr>
      </w:pPr>
      <w:r>
        <w:rPr>
          <w:rFonts w:hint="eastAsia" w:ascii="仿宋" w:hAnsi="仿宋" w:eastAsia="仿宋"/>
          <w:b/>
          <w:sz w:val="32"/>
          <w:szCs w:val="32"/>
        </w:rPr>
        <w:t>3.7 论文质量</w:t>
      </w:r>
    </w:p>
    <w:p w14:paraId="1892AC34">
      <w:pPr>
        <w:autoSpaceDE w:val="0"/>
        <w:autoSpaceDN w:val="0"/>
        <w:spacing w:line="360" w:lineRule="auto"/>
        <w:ind w:firstLine="555"/>
        <w:jc w:val="left"/>
        <w:textAlignment w:val="auto"/>
        <w:rPr>
          <w:rFonts w:ascii="仿宋" w:hAnsi="仿宋" w:eastAsia="仿宋"/>
          <w:sz w:val="32"/>
          <w:szCs w:val="32"/>
        </w:rPr>
      </w:pPr>
      <w:r>
        <w:rPr>
          <w:rFonts w:hint="eastAsia" w:ascii="仿宋" w:hAnsi="仿宋" w:eastAsia="仿宋" w:cs="宋体"/>
          <w:sz w:val="32"/>
          <w:szCs w:val="32"/>
        </w:rPr>
        <w:t>河北大学建立了学位论文质量保障制度。学位论文要分别通过外审、内审才能进入答辩程序。规定硕士研究生</w:t>
      </w:r>
      <w:r>
        <w:rPr>
          <w:rFonts w:ascii="仿宋" w:hAnsi="仿宋" w:eastAsia="仿宋" w:cs="宋体"/>
          <w:sz w:val="32"/>
          <w:szCs w:val="32"/>
        </w:rPr>
        <w:t>100%</w:t>
      </w:r>
      <w:r>
        <w:rPr>
          <w:rFonts w:hint="eastAsia" w:ascii="仿宋" w:hAnsi="仿宋" w:eastAsia="仿宋" w:cs="宋体"/>
          <w:sz w:val="32"/>
          <w:szCs w:val="32"/>
        </w:rPr>
        <w:t>参加学位论文外单位同行专家评阅，其中</w:t>
      </w:r>
      <w:r>
        <w:rPr>
          <w:rFonts w:ascii="仿宋" w:hAnsi="仿宋" w:eastAsia="仿宋" w:cs="宋体"/>
          <w:sz w:val="32"/>
          <w:szCs w:val="32"/>
        </w:rPr>
        <w:t>10%</w:t>
      </w:r>
      <w:r>
        <w:rPr>
          <w:rFonts w:hint="eastAsia" w:ascii="仿宋" w:hAnsi="仿宋" w:eastAsia="仿宋" w:cs="宋体"/>
          <w:sz w:val="32"/>
          <w:szCs w:val="32"/>
        </w:rPr>
        <w:t>的学历硕士，</w:t>
      </w:r>
      <w:r>
        <w:rPr>
          <w:rFonts w:ascii="仿宋" w:hAnsi="仿宋" w:eastAsia="仿宋" w:cs="宋体"/>
          <w:sz w:val="32"/>
          <w:szCs w:val="32"/>
        </w:rPr>
        <w:t>20%</w:t>
      </w:r>
      <w:r>
        <w:rPr>
          <w:rFonts w:hint="eastAsia" w:ascii="仿宋" w:hAnsi="仿宋" w:eastAsia="仿宋" w:cs="宋体"/>
          <w:sz w:val="32"/>
          <w:szCs w:val="32"/>
        </w:rPr>
        <w:t>的同等学力硕士参加由校学位委员会办公室组织的送重点大学双盲评阅，其余</w:t>
      </w:r>
      <w:r>
        <w:rPr>
          <w:rFonts w:ascii="仿宋" w:hAnsi="仿宋" w:eastAsia="仿宋" w:cs="宋体"/>
          <w:sz w:val="32"/>
          <w:szCs w:val="32"/>
        </w:rPr>
        <w:t>90%</w:t>
      </w:r>
      <w:r>
        <w:rPr>
          <w:rFonts w:hint="eastAsia" w:ascii="仿宋" w:hAnsi="仿宋" w:eastAsia="仿宋" w:cs="宋体"/>
          <w:sz w:val="32"/>
          <w:szCs w:val="32"/>
        </w:rPr>
        <w:t>参加由医学院组织送省内外同行专家评阅。</w:t>
      </w:r>
      <w:r>
        <w:rPr>
          <w:rFonts w:ascii="仿宋" w:hAnsi="仿宋" w:eastAsia="仿宋" w:cs="宋体"/>
          <w:sz w:val="32"/>
          <w:szCs w:val="32"/>
        </w:rPr>
        <w:t>2014</w:t>
      </w:r>
      <w:r>
        <w:rPr>
          <w:rFonts w:hint="eastAsia" w:ascii="仿宋" w:hAnsi="仿宋" w:eastAsia="仿宋" w:cs="宋体"/>
          <w:sz w:val="32"/>
          <w:szCs w:val="32"/>
        </w:rPr>
        <w:t>年起，河北大学使用“教育部学位与研究生教育评估工作平台”，对博士、硕士学位论文进行网上盲审（因平台目前不接收专业学位论文，所以专硕论文还是人工送外审，待平台完善后，专硕论文也将一起进行网上盲审）。我校为河北省首批使用该平台的高等院校，其平台专家涵盖了院士、长江学者、国家杰青等各学科各领域的知名学者，具有较高的权威性，既保证了评阅结果的客观、公正，又可以有效的保证学位论文的水。</w:t>
      </w:r>
    </w:p>
    <w:p w14:paraId="7DCB157D">
      <w:pPr>
        <w:autoSpaceDE w:val="0"/>
        <w:autoSpaceDN w:val="0"/>
        <w:spacing w:line="360" w:lineRule="auto"/>
        <w:ind w:firstLine="640" w:firstLineChars="200"/>
        <w:jc w:val="left"/>
        <w:textAlignment w:val="auto"/>
        <w:rPr>
          <w:rFonts w:ascii="仿宋" w:hAnsi="仿宋" w:eastAsia="仿宋" w:cs="宋体"/>
          <w:sz w:val="32"/>
          <w:szCs w:val="32"/>
        </w:rPr>
      </w:pPr>
      <w:r>
        <w:rPr>
          <w:rFonts w:hint="eastAsia" w:ascii="仿宋" w:hAnsi="仿宋" w:eastAsia="仿宋" w:cs="宋体"/>
          <w:sz w:val="32"/>
          <w:szCs w:val="32"/>
        </w:rPr>
        <w:t>自</w:t>
      </w:r>
      <w:r>
        <w:rPr>
          <w:rFonts w:ascii="仿宋" w:hAnsi="仿宋" w:eastAsia="仿宋" w:cs="宋体"/>
          <w:sz w:val="32"/>
          <w:szCs w:val="32"/>
        </w:rPr>
        <w:t xml:space="preserve">2009 </w:t>
      </w:r>
      <w:r>
        <w:rPr>
          <w:rFonts w:hint="eastAsia" w:ascii="仿宋" w:hAnsi="仿宋" w:eastAsia="仿宋" w:cs="宋体"/>
          <w:sz w:val="32"/>
          <w:szCs w:val="32"/>
        </w:rPr>
        <w:t>年起，河北大学实施了学位论文内审制度。使用“</w:t>
      </w:r>
      <w:r>
        <w:rPr>
          <w:rFonts w:ascii="仿宋" w:hAnsi="仿宋" w:eastAsia="仿宋" w:cs="宋体"/>
          <w:sz w:val="32"/>
          <w:szCs w:val="32"/>
        </w:rPr>
        <w:t>CNKI</w:t>
      </w:r>
      <w:r>
        <w:rPr>
          <w:rFonts w:hint="eastAsia" w:ascii="仿宋" w:hAnsi="仿宋" w:eastAsia="仿宋" w:cs="宋体"/>
          <w:sz w:val="32"/>
          <w:szCs w:val="32"/>
        </w:rPr>
        <w:t>学位论文学术不端行为检测系统”对全部博士、硕士申请学位人员进行普查。第一阶段，对所有研究生学位论文进行普查。对复制比率较高的同学，对其进行诫勉谈话，并督促其认真修改论文。第二阶段针对第一次有问题的论文进行再次检查，如发现仍存在较大的问题，经专家鉴定后做出延期答辩或取消学位授予资格的决定。</w:t>
      </w:r>
      <w:r>
        <w:rPr>
          <w:rFonts w:ascii="仿宋" w:hAnsi="仿宋" w:eastAsia="仿宋" w:cs="宋体"/>
          <w:sz w:val="32"/>
          <w:szCs w:val="32"/>
        </w:rPr>
        <w:t xml:space="preserve">2014 </w:t>
      </w:r>
      <w:r>
        <w:rPr>
          <w:rFonts w:hint="eastAsia" w:ascii="仿宋" w:hAnsi="仿宋" w:eastAsia="仿宋" w:cs="宋体"/>
          <w:sz w:val="32"/>
          <w:szCs w:val="32"/>
        </w:rPr>
        <w:t>年上半年，又实施了首次查重淘汰制度。即在第一阶段普查中，学位论文文字复制比率达到</w:t>
      </w:r>
      <w:r>
        <w:rPr>
          <w:rFonts w:ascii="仿宋" w:hAnsi="仿宋" w:eastAsia="仿宋" w:cs="宋体"/>
          <w:sz w:val="32"/>
          <w:szCs w:val="32"/>
        </w:rPr>
        <w:t>50%</w:t>
      </w:r>
      <w:r>
        <w:rPr>
          <w:rFonts w:hint="eastAsia" w:ascii="仿宋" w:hAnsi="仿宋" w:eastAsia="仿宋" w:cs="宋体"/>
          <w:sz w:val="32"/>
          <w:szCs w:val="32"/>
        </w:rPr>
        <w:t>及以上的，建议由学院学位评定分委员会审定商议后，做出延期答辩暂缓授予学位的处理决定；文字复制比率在</w:t>
      </w:r>
      <w:r>
        <w:rPr>
          <w:rFonts w:ascii="仿宋" w:hAnsi="仿宋" w:eastAsia="仿宋" w:cs="宋体"/>
          <w:sz w:val="32"/>
          <w:szCs w:val="32"/>
        </w:rPr>
        <w:t>20%</w:t>
      </w:r>
      <w:r>
        <w:rPr>
          <w:rFonts w:hint="eastAsia" w:ascii="仿宋" w:hAnsi="仿宋" w:eastAsia="仿宋" w:cs="宋体"/>
          <w:sz w:val="32"/>
          <w:szCs w:val="32"/>
        </w:rPr>
        <w:t>～</w:t>
      </w:r>
      <w:r>
        <w:rPr>
          <w:rFonts w:ascii="仿宋" w:hAnsi="仿宋" w:eastAsia="仿宋" w:cs="宋体"/>
          <w:sz w:val="32"/>
          <w:szCs w:val="32"/>
        </w:rPr>
        <w:t>50%</w:t>
      </w:r>
      <w:r>
        <w:rPr>
          <w:rFonts w:hint="eastAsia" w:ascii="仿宋" w:hAnsi="仿宋" w:eastAsia="仿宋" w:cs="宋体"/>
          <w:sz w:val="32"/>
          <w:szCs w:val="32"/>
        </w:rPr>
        <w:t>之间者进入第二阶段限期修改。此项制度的实施有效防止了学位论文中存在的抄袭剽窃等作假行为，保证了学位论文质量。</w:t>
      </w:r>
    </w:p>
    <w:p w14:paraId="57D0ACBC">
      <w:pPr>
        <w:autoSpaceDE w:val="0"/>
        <w:autoSpaceDN w:val="0"/>
        <w:spacing w:line="360" w:lineRule="auto"/>
        <w:ind w:firstLine="640" w:firstLineChars="200"/>
        <w:jc w:val="left"/>
        <w:textAlignment w:val="auto"/>
        <w:rPr>
          <w:rFonts w:ascii="仿宋" w:hAnsi="仿宋" w:eastAsia="仿宋" w:cs="宋体"/>
          <w:sz w:val="32"/>
          <w:szCs w:val="32"/>
        </w:rPr>
      </w:pPr>
      <w:r>
        <w:rPr>
          <w:rFonts w:hint="eastAsia" w:ascii="仿宋" w:hAnsi="仿宋" w:eastAsia="仿宋" w:cs="宋体"/>
          <w:sz w:val="32"/>
          <w:szCs w:val="32"/>
        </w:rPr>
        <w:t>2020年环境科学与工程学科硕士毕业论文没有存在查重不通过情况。</w:t>
      </w:r>
    </w:p>
    <w:p w14:paraId="42020CA0">
      <w:pPr>
        <w:widowControl/>
        <w:shd w:val="clear" w:color="auto" w:fill="FFFFFF"/>
        <w:spacing w:line="360" w:lineRule="auto"/>
        <w:ind w:firstLine="643" w:firstLineChars="200"/>
        <w:jc w:val="left"/>
        <w:rPr>
          <w:rFonts w:ascii="仿宋" w:hAnsi="仿宋" w:eastAsia="仿宋"/>
          <w:b/>
          <w:sz w:val="32"/>
          <w:szCs w:val="32"/>
        </w:rPr>
      </w:pPr>
      <w:r>
        <w:rPr>
          <w:rFonts w:hint="eastAsia" w:ascii="仿宋" w:hAnsi="仿宋" w:eastAsia="仿宋"/>
          <w:b/>
          <w:sz w:val="32"/>
          <w:szCs w:val="32"/>
        </w:rPr>
        <w:t>3.</w:t>
      </w:r>
      <w:r>
        <w:rPr>
          <w:rFonts w:ascii="仿宋" w:hAnsi="仿宋" w:eastAsia="仿宋"/>
          <w:b/>
          <w:sz w:val="32"/>
          <w:szCs w:val="32"/>
        </w:rPr>
        <w:t>8</w:t>
      </w:r>
      <w:r>
        <w:rPr>
          <w:rFonts w:hint="eastAsia" w:ascii="仿宋" w:hAnsi="仿宋" w:eastAsia="仿宋"/>
          <w:b/>
          <w:sz w:val="32"/>
          <w:szCs w:val="32"/>
        </w:rPr>
        <w:t>学风教育</w:t>
      </w:r>
    </w:p>
    <w:p w14:paraId="7A461B45">
      <w:pPr>
        <w:autoSpaceDE w:val="0"/>
        <w:autoSpaceDN w:val="0"/>
        <w:spacing w:line="360" w:lineRule="auto"/>
        <w:ind w:firstLine="640" w:firstLineChars="200"/>
        <w:jc w:val="left"/>
        <w:textAlignment w:val="auto"/>
        <w:rPr>
          <w:rFonts w:ascii="仿宋" w:hAnsi="仿宋" w:eastAsia="仿宋" w:cs="宋体"/>
          <w:sz w:val="32"/>
          <w:szCs w:val="32"/>
        </w:rPr>
      </w:pPr>
      <w:r>
        <w:rPr>
          <w:rFonts w:hint="eastAsia" w:ascii="仿宋" w:hAnsi="仿宋" w:eastAsia="仿宋" w:cs="宋体"/>
          <w:sz w:val="32"/>
          <w:szCs w:val="32"/>
        </w:rPr>
        <w:t>学科建设中时刻不忘师生科研思维和学习能力的提高，将思想建设与实际工作相衔接。在教育教学环境，任课教师以学习情景为中心精心设计环境案例，从专业角度既让学生掌握了专业知识，又建立了多角度学习的氛围。如梁淑轩老师建立了《白洋淀湿地中迁移转化》、《土壤中重金属的迁移转化及修复技术》等典型代表性的教学案例，在教学中进行探索和应用，结合学生资料搜集和集中互动讨论等环节，使学生灵活掌握环境污染化学的基本理论和技术。赵春霞老师以实际的城镇污水处理厂尾水人工湿地案例抛砖引玉，阐述人工湿地不同工艺单元对污染物的去除原理和特点，将原本散落的理论知识有机的结合起来，并讲解如何分析现状，选取合理的人工湿地工艺，让理论知识与实际问题相连接。实际案例建设和讨论改变传统的以书本为中心、从概念到概念的教学方式，切实培养并全面提高学生分析问题和解决问题的能力和职业素养。通过专家引领、同事互动和专题活动促进教师专业化成长，努力提高教师的业务素质，如邀请中国农科院、中南大学、中国环科院、北京师范大学等专家进行专业交流和培训。</w:t>
      </w:r>
    </w:p>
    <w:p w14:paraId="0A8B94EC">
      <w:pPr>
        <w:autoSpaceDE w:val="0"/>
        <w:autoSpaceDN w:val="0"/>
        <w:spacing w:line="360" w:lineRule="auto"/>
        <w:ind w:firstLine="640" w:firstLineChars="200"/>
        <w:jc w:val="left"/>
        <w:textAlignment w:val="auto"/>
        <w:rPr>
          <w:rFonts w:ascii="仿宋" w:hAnsi="仿宋" w:eastAsia="仿宋" w:cs="宋体"/>
          <w:sz w:val="32"/>
          <w:szCs w:val="32"/>
        </w:rPr>
      </w:pPr>
      <w:r>
        <w:rPr>
          <w:rFonts w:hint="eastAsia" w:ascii="仿宋" w:hAnsi="仿宋" w:eastAsia="仿宋" w:cs="宋体"/>
          <w:sz w:val="32"/>
          <w:szCs w:val="32"/>
        </w:rPr>
        <w:t>通过选树典型，弘扬感人事迹，大力培养造就一支师德高尚、业务精湛、结构合理、充满活力的高素质专业化教师队伍。</w:t>
      </w:r>
    </w:p>
    <w:p w14:paraId="47160C5B">
      <w:pPr>
        <w:widowControl/>
        <w:shd w:val="clear" w:color="auto" w:fill="FFFFFF"/>
        <w:spacing w:line="360" w:lineRule="auto"/>
        <w:ind w:firstLine="643" w:firstLineChars="200"/>
        <w:jc w:val="left"/>
        <w:rPr>
          <w:rFonts w:ascii="仿宋" w:hAnsi="仿宋" w:eastAsia="仿宋"/>
          <w:b/>
          <w:sz w:val="32"/>
          <w:szCs w:val="32"/>
        </w:rPr>
      </w:pPr>
      <w:r>
        <w:rPr>
          <w:rFonts w:hint="eastAsia" w:ascii="仿宋" w:hAnsi="仿宋" w:eastAsia="仿宋"/>
          <w:b/>
          <w:sz w:val="32"/>
          <w:szCs w:val="32"/>
        </w:rPr>
        <w:t>3.</w:t>
      </w:r>
      <w:r>
        <w:rPr>
          <w:rFonts w:ascii="仿宋" w:hAnsi="仿宋" w:eastAsia="仿宋"/>
          <w:b/>
          <w:sz w:val="32"/>
          <w:szCs w:val="32"/>
        </w:rPr>
        <w:t>9</w:t>
      </w:r>
      <w:r>
        <w:rPr>
          <w:rFonts w:hint="eastAsia" w:ascii="仿宋" w:hAnsi="仿宋" w:eastAsia="仿宋"/>
          <w:b/>
          <w:sz w:val="32"/>
          <w:szCs w:val="32"/>
        </w:rPr>
        <w:t>管理服务</w:t>
      </w:r>
    </w:p>
    <w:p w14:paraId="075E4077">
      <w:pPr>
        <w:spacing w:line="360" w:lineRule="auto"/>
        <w:ind w:firstLine="640" w:firstLineChars="200"/>
        <w:rPr>
          <w:rFonts w:ascii="仿宋" w:hAnsi="仿宋" w:eastAsia="仿宋"/>
          <w:sz w:val="32"/>
          <w:szCs w:val="32"/>
        </w:rPr>
      </w:pPr>
      <w:r>
        <w:rPr>
          <w:rFonts w:hint="eastAsia" w:ascii="仿宋" w:hAnsi="仿宋" w:eastAsia="仿宋"/>
          <w:sz w:val="32"/>
          <w:szCs w:val="32"/>
        </w:rPr>
        <w:t>本学位点设立了研究生权益保障制度，研究生可以通过教研室、系、学院逐级申诉，确保自己的合法权益。如学位申请人及指导教师对论文评审结果有异议，可按照《河北大学研究生学位论文评审复议管理规定（试行）》申请评审复议。</w:t>
      </w:r>
    </w:p>
    <w:p w14:paraId="60DCCDFC">
      <w:pPr>
        <w:spacing w:line="360" w:lineRule="auto"/>
        <w:ind w:firstLine="640" w:firstLineChars="200"/>
        <w:rPr>
          <w:rFonts w:ascii="仿宋" w:hAnsi="仿宋" w:eastAsia="仿宋"/>
          <w:sz w:val="32"/>
          <w:szCs w:val="32"/>
        </w:rPr>
      </w:pPr>
      <w:r>
        <w:rPr>
          <w:rFonts w:hint="eastAsia" w:ascii="仿宋" w:hAnsi="仿宋" w:eastAsia="仿宋"/>
          <w:sz w:val="32"/>
          <w:szCs w:val="32"/>
        </w:rPr>
        <w:t>河北大学学校、学院两级研究生管理机构健全，职能明确。学校设有研究生学院、学科建设与学位管理处等行政机构，设有学位评定委员会、学术委员会等学术组织。化学与环境学院设有科研管理等行政机构，设有学位评定分委员会、学术分委员会等学术组织。各机构职能明确，运转有效。研究生培养采取“入学教育-开题-中期检查-预答辩-答辩-审核-学位委员会”的全过程控制管理体系，学校设有国家奖学金、学业奖学金、优秀研究生、优秀毕业生等各种奖助体系。</w:t>
      </w:r>
    </w:p>
    <w:p w14:paraId="0BA9F223">
      <w:pPr>
        <w:spacing w:line="360" w:lineRule="auto"/>
        <w:ind w:firstLine="640" w:firstLineChars="200"/>
        <w:rPr>
          <w:rFonts w:ascii="仿宋" w:hAnsi="仿宋" w:eastAsia="仿宋"/>
          <w:b/>
          <w:sz w:val="32"/>
          <w:szCs w:val="32"/>
        </w:rPr>
      </w:pPr>
      <w:r>
        <w:rPr>
          <w:rFonts w:hint="eastAsia" w:ascii="仿宋" w:hAnsi="仿宋" w:eastAsia="仿宋"/>
          <w:sz w:val="32"/>
          <w:szCs w:val="32"/>
        </w:rPr>
        <w:t>3.1</w:t>
      </w:r>
      <w:r>
        <w:rPr>
          <w:rFonts w:ascii="仿宋" w:hAnsi="仿宋" w:eastAsia="仿宋"/>
          <w:sz w:val="32"/>
          <w:szCs w:val="32"/>
        </w:rPr>
        <w:t>0</w:t>
      </w:r>
      <w:r>
        <w:rPr>
          <w:rFonts w:hint="eastAsia" w:ascii="仿宋" w:hAnsi="仿宋" w:eastAsia="仿宋"/>
          <w:b/>
          <w:sz w:val="32"/>
          <w:szCs w:val="32"/>
        </w:rPr>
        <w:t>就业发展</w:t>
      </w:r>
    </w:p>
    <w:p w14:paraId="65C80160">
      <w:pPr>
        <w:snapToGrid w:val="0"/>
        <w:spacing w:line="360" w:lineRule="auto"/>
        <w:ind w:firstLine="640" w:firstLineChars="200"/>
        <w:rPr>
          <w:rFonts w:ascii="仿宋" w:hAnsi="仿宋" w:eastAsia="仿宋"/>
          <w:sz w:val="32"/>
          <w:szCs w:val="32"/>
        </w:rPr>
      </w:pPr>
      <w:r>
        <w:rPr>
          <w:rFonts w:hint="eastAsia" w:ascii="仿宋" w:hAnsi="仿宋" w:eastAsia="仿宋"/>
          <w:sz w:val="32"/>
          <w:szCs w:val="32"/>
        </w:rPr>
        <w:t>2020年，环境科学与工程硕士学位点共毕业研究生12人，</w:t>
      </w:r>
      <w:r>
        <w:rPr>
          <w:rFonts w:ascii="仿宋" w:hAnsi="仿宋" w:eastAsia="仿宋"/>
          <w:sz w:val="32"/>
          <w:szCs w:val="32"/>
        </w:rPr>
        <w:t>具体</w:t>
      </w:r>
      <w:r>
        <w:rPr>
          <w:rFonts w:hint="eastAsia" w:ascii="仿宋" w:hAnsi="仿宋" w:eastAsia="仿宋"/>
          <w:sz w:val="32"/>
          <w:szCs w:val="32"/>
        </w:rPr>
        <w:t>比例分布如下表所示。</w:t>
      </w: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7"/>
        <w:gridCol w:w="1247"/>
        <w:gridCol w:w="1540"/>
        <w:gridCol w:w="1099"/>
        <w:gridCol w:w="1099"/>
        <w:gridCol w:w="802"/>
        <w:gridCol w:w="1686"/>
      </w:tblGrid>
      <w:tr w14:paraId="213AD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pct"/>
            <w:vMerge w:val="restart"/>
            <w:vAlign w:val="center"/>
          </w:tcPr>
          <w:p w14:paraId="6FD1D0CB">
            <w:pPr>
              <w:spacing w:line="360" w:lineRule="auto"/>
              <w:jc w:val="center"/>
              <w:rPr>
                <w:rFonts w:asciiTheme="minorEastAsia" w:hAnsiTheme="minorEastAsia" w:eastAsiaTheme="minorEastAsia"/>
                <w:b/>
                <w:sz w:val="32"/>
                <w:szCs w:val="32"/>
              </w:rPr>
            </w:pPr>
            <w:r>
              <w:rPr>
                <w:rFonts w:hint="eastAsia" w:asciiTheme="minorEastAsia" w:hAnsiTheme="minorEastAsia" w:eastAsiaTheme="minorEastAsia"/>
                <w:b/>
                <w:sz w:val="32"/>
                <w:szCs w:val="32"/>
              </w:rPr>
              <w:t>毕业生总数</w:t>
            </w:r>
          </w:p>
        </w:tc>
        <w:tc>
          <w:tcPr>
            <w:tcW w:w="715" w:type="pct"/>
            <w:vMerge w:val="restart"/>
            <w:vAlign w:val="center"/>
          </w:tcPr>
          <w:p w14:paraId="0B978CC2">
            <w:pPr>
              <w:spacing w:line="360" w:lineRule="auto"/>
              <w:jc w:val="center"/>
              <w:rPr>
                <w:rFonts w:asciiTheme="minorEastAsia" w:hAnsiTheme="minorEastAsia" w:eastAsiaTheme="minorEastAsia"/>
                <w:b/>
                <w:sz w:val="32"/>
                <w:szCs w:val="32"/>
              </w:rPr>
            </w:pPr>
            <w:r>
              <w:rPr>
                <w:rFonts w:hint="eastAsia" w:asciiTheme="minorEastAsia" w:hAnsiTheme="minorEastAsia" w:eastAsiaTheme="minorEastAsia"/>
                <w:b/>
                <w:sz w:val="32"/>
                <w:szCs w:val="32"/>
              </w:rPr>
              <w:t>授予学位数</w:t>
            </w:r>
          </w:p>
        </w:tc>
        <w:tc>
          <w:tcPr>
            <w:tcW w:w="2603" w:type="pct"/>
            <w:gridSpan w:val="4"/>
            <w:vAlign w:val="center"/>
          </w:tcPr>
          <w:p w14:paraId="12D76A79">
            <w:pPr>
              <w:spacing w:line="360" w:lineRule="auto"/>
              <w:jc w:val="center"/>
              <w:rPr>
                <w:rFonts w:asciiTheme="minorEastAsia" w:hAnsiTheme="minorEastAsia" w:eastAsiaTheme="minorEastAsia"/>
                <w:b/>
                <w:sz w:val="32"/>
                <w:szCs w:val="32"/>
              </w:rPr>
            </w:pPr>
            <w:r>
              <w:rPr>
                <w:rFonts w:hint="eastAsia" w:asciiTheme="minorEastAsia" w:hAnsiTheme="minorEastAsia" w:eastAsiaTheme="minorEastAsia"/>
                <w:b/>
                <w:sz w:val="32"/>
                <w:szCs w:val="32"/>
              </w:rPr>
              <w:t>就业情况</w:t>
            </w:r>
          </w:p>
        </w:tc>
        <w:tc>
          <w:tcPr>
            <w:tcW w:w="966" w:type="pct"/>
            <w:vAlign w:val="center"/>
          </w:tcPr>
          <w:p w14:paraId="732C4647">
            <w:pPr>
              <w:spacing w:line="360" w:lineRule="auto"/>
              <w:jc w:val="center"/>
              <w:rPr>
                <w:rFonts w:asciiTheme="minorEastAsia" w:hAnsiTheme="minorEastAsia" w:eastAsiaTheme="minorEastAsia"/>
                <w:b/>
                <w:sz w:val="32"/>
                <w:szCs w:val="32"/>
              </w:rPr>
            </w:pPr>
            <w:r>
              <w:rPr>
                <w:rFonts w:hint="eastAsia" w:asciiTheme="minorEastAsia" w:hAnsiTheme="minorEastAsia" w:eastAsiaTheme="minorEastAsia"/>
                <w:b/>
                <w:sz w:val="32"/>
                <w:szCs w:val="32"/>
              </w:rPr>
              <w:t>就业人数及就业率</w:t>
            </w:r>
          </w:p>
        </w:tc>
      </w:tr>
      <w:tr w14:paraId="6B0FA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pct"/>
            <w:vMerge w:val="continue"/>
            <w:vAlign w:val="center"/>
          </w:tcPr>
          <w:p w14:paraId="3B09C343">
            <w:pPr>
              <w:spacing w:line="360" w:lineRule="auto"/>
              <w:jc w:val="center"/>
              <w:rPr>
                <w:rFonts w:asciiTheme="minorEastAsia" w:hAnsiTheme="minorEastAsia" w:eastAsiaTheme="minorEastAsia"/>
                <w:b/>
                <w:sz w:val="32"/>
                <w:szCs w:val="32"/>
              </w:rPr>
            </w:pPr>
          </w:p>
        </w:tc>
        <w:tc>
          <w:tcPr>
            <w:tcW w:w="715" w:type="pct"/>
            <w:vMerge w:val="continue"/>
            <w:vAlign w:val="center"/>
          </w:tcPr>
          <w:p w14:paraId="615BF465">
            <w:pPr>
              <w:spacing w:line="360" w:lineRule="auto"/>
              <w:jc w:val="center"/>
              <w:rPr>
                <w:rFonts w:asciiTheme="minorEastAsia" w:hAnsiTheme="minorEastAsia" w:eastAsiaTheme="minorEastAsia"/>
                <w:b/>
                <w:sz w:val="32"/>
                <w:szCs w:val="32"/>
              </w:rPr>
            </w:pPr>
          </w:p>
        </w:tc>
        <w:tc>
          <w:tcPr>
            <w:tcW w:w="883" w:type="pct"/>
            <w:vAlign w:val="center"/>
          </w:tcPr>
          <w:p w14:paraId="29297FF9">
            <w:pPr>
              <w:spacing w:line="360" w:lineRule="auto"/>
              <w:jc w:val="center"/>
              <w:rPr>
                <w:rFonts w:asciiTheme="minorEastAsia" w:hAnsiTheme="minorEastAsia" w:eastAsiaTheme="minorEastAsia"/>
                <w:b/>
                <w:sz w:val="32"/>
                <w:szCs w:val="32"/>
              </w:rPr>
            </w:pPr>
            <w:r>
              <w:rPr>
                <w:rFonts w:hint="eastAsia" w:asciiTheme="minorEastAsia" w:hAnsiTheme="minorEastAsia" w:eastAsiaTheme="minorEastAsia"/>
                <w:b/>
                <w:sz w:val="32"/>
                <w:szCs w:val="32"/>
              </w:rPr>
              <w:t>协议和合同就业</w:t>
            </w:r>
          </w:p>
        </w:tc>
        <w:tc>
          <w:tcPr>
            <w:tcW w:w="630" w:type="pct"/>
            <w:vAlign w:val="center"/>
          </w:tcPr>
          <w:p w14:paraId="1F0159B2">
            <w:pPr>
              <w:spacing w:line="360" w:lineRule="auto"/>
              <w:jc w:val="center"/>
              <w:rPr>
                <w:rFonts w:asciiTheme="minorEastAsia" w:hAnsiTheme="minorEastAsia" w:eastAsiaTheme="minorEastAsia"/>
                <w:b/>
                <w:sz w:val="32"/>
                <w:szCs w:val="32"/>
              </w:rPr>
            </w:pPr>
            <w:r>
              <w:rPr>
                <w:rFonts w:hint="eastAsia" w:asciiTheme="minorEastAsia" w:hAnsiTheme="minorEastAsia" w:eastAsiaTheme="minorEastAsia"/>
                <w:b/>
                <w:sz w:val="32"/>
                <w:szCs w:val="32"/>
              </w:rPr>
              <w:t>自主创业</w:t>
            </w:r>
          </w:p>
        </w:tc>
        <w:tc>
          <w:tcPr>
            <w:tcW w:w="630" w:type="pct"/>
            <w:vAlign w:val="center"/>
          </w:tcPr>
          <w:p w14:paraId="65FC92FA">
            <w:pPr>
              <w:spacing w:line="360" w:lineRule="auto"/>
              <w:jc w:val="center"/>
              <w:rPr>
                <w:rFonts w:asciiTheme="minorEastAsia" w:hAnsiTheme="minorEastAsia" w:eastAsiaTheme="minorEastAsia"/>
                <w:b/>
                <w:sz w:val="32"/>
                <w:szCs w:val="32"/>
              </w:rPr>
            </w:pPr>
            <w:r>
              <w:rPr>
                <w:rFonts w:hint="eastAsia" w:asciiTheme="minorEastAsia" w:hAnsiTheme="minorEastAsia" w:eastAsiaTheme="minorEastAsia"/>
                <w:b/>
                <w:sz w:val="32"/>
                <w:szCs w:val="32"/>
              </w:rPr>
              <w:t>灵活就业</w:t>
            </w:r>
          </w:p>
        </w:tc>
        <w:tc>
          <w:tcPr>
            <w:tcW w:w="459" w:type="pct"/>
            <w:vAlign w:val="center"/>
          </w:tcPr>
          <w:p w14:paraId="6BDD5674">
            <w:pPr>
              <w:spacing w:line="360" w:lineRule="auto"/>
              <w:jc w:val="center"/>
              <w:rPr>
                <w:rFonts w:asciiTheme="minorEastAsia" w:hAnsiTheme="minorEastAsia" w:eastAsiaTheme="minorEastAsia"/>
                <w:b/>
                <w:sz w:val="32"/>
                <w:szCs w:val="32"/>
              </w:rPr>
            </w:pPr>
            <w:r>
              <w:rPr>
                <w:rFonts w:hint="eastAsia" w:asciiTheme="minorEastAsia" w:hAnsiTheme="minorEastAsia" w:eastAsiaTheme="minorEastAsia"/>
                <w:b/>
                <w:sz w:val="32"/>
                <w:szCs w:val="32"/>
              </w:rPr>
              <w:t>升学</w:t>
            </w:r>
          </w:p>
        </w:tc>
        <w:tc>
          <w:tcPr>
            <w:tcW w:w="966" w:type="pct"/>
            <w:vAlign w:val="center"/>
          </w:tcPr>
          <w:p w14:paraId="67A69BE5">
            <w:pPr>
              <w:spacing w:line="360" w:lineRule="auto"/>
              <w:jc w:val="center"/>
              <w:rPr>
                <w:rFonts w:asciiTheme="minorEastAsia" w:hAnsiTheme="minorEastAsia" w:eastAsiaTheme="minorEastAsia"/>
                <w:b/>
                <w:sz w:val="32"/>
                <w:szCs w:val="32"/>
              </w:rPr>
            </w:pPr>
          </w:p>
        </w:tc>
      </w:tr>
      <w:tr w14:paraId="7D65C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pct"/>
            <w:vAlign w:val="center"/>
          </w:tcPr>
          <w:p w14:paraId="334FDB0E">
            <w:pPr>
              <w:spacing w:line="360" w:lineRule="auto"/>
              <w:jc w:val="center"/>
              <w:rPr>
                <w:rFonts w:asciiTheme="minorEastAsia" w:hAnsiTheme="minorEastAsia" w:eastAsiaTheme="minorEastAsia"/>
                <w:b/>
                <w:sz w:val="32"/>
                <w:szCs w:val="32"/>
              </w:rPr>
            </w:pPr>
            <w:r>
              <w:rPr>
                <w:rFonts w:hint="eastAsia" w:asciiTheme="minorEastAsia" w:hAnsiTheme="minorEastAsia" w:eastAsiaTheme="minorEastAsia"/>
                <w:b/>
                <w:sz w:val="32"/>
                <w:szCs w:val="32"/>
              </w:rPr>
              <w:t>12</w:t>
            </w:r>
          </w:p>
        </w:tc>
        <w:tc>
          <w:tcPr>
            <w:tcW w:w="715" w:type="pct"/>
            <w:vAlign w:val="center"/>
          </w:tcPr>
          <w:p w14:paraId="24A52159">
            <w:pPr>
              <w:spacing w:line="360" w:lineRule="auto"/>
              <w:jc w:val="center"/>
              <w:rPr>
                <w:rFonts w:asciiTheme="minorEastAsia" w:hAnsiTheme="minorEastAsia" w:eastAsiaTheme="minorEastAsia"/>
                <w:b/>
                <w:sz w:val="32"/>
                <w:szCs w:val="32"/>
              </w:rPr>
            </w:pPr>
            <w:r>
              <w:rPr>
                <w:rFonts w:hint="eastAsia" w:asciiTheme="minorEastAsia" w:hAnsiTheme="minorEastAsia" w:eastAsiaTheme="minorEastAsia"/>
                <w:b/>
                <w:sz w:val="32"/>
                <w:szCs w:val="32"/>
              </w:rPr>
              <w:t>12</w:t>
            </w:r>
          </w:p>
        </w:tc>
        <w:tc>
          <w:tcPr>
            <w:tcW w:w="883" w:type="pct"/>
            <w:vAlign w:val="center"/>
          </w:tcPr>
          <w:p w14:paraId="36F22896">
            <w:pPr>
              <w:spacing w:line="360" w:lineRule="auto"/>
              <w:jc w:val="center"/>
              <w:rPr>
                <w:rFonts w:asciiTheme="minorEastAsia" w:hAnsiTheme="minorEastAsia" w:eastAsiaTheme="minorEastAsia"/>
                <w:b/>
                <w:sz w:val="32"/>
                <w:szCs w:val="32"/>
              </w:rPr>
            </w:pPr>
            <w:r>
              <w:rPr>
                <w:rFonts w:hint="eastAsia" w:asciiTheme="minorEastAsia" w:hAnsiTheme="minorEastAsia" w:eastAsiaTheme="minorEastAsia"/>
                <w:b/>
                <w:sz w:val="32"/>
                <w:szCs w:val="32"/>
              </w:rPr>
              <w:t>0</w:t>
            </w:r>
          </w:p>
        </w:tc>
        <w:tc>
          <w:tcPr>
            <w:tcW w:w="630" w:type="pct"/>
            <w:vAlign w:val="center"/>
          </w:tcPr>
          <w:p w14:paraId="045F3EC5">
            <w:pPr>
              <w:spacing w:line="360" w:lineRule="auto"/>
              <w:jc w:val="center"/>
              <w:rPr>
                <w:rFonts w:asciiTheme="minorEastAsia" w:hAnsiTheme="minorEastAsia" w:eastAsiaTheme="minorEastAsia"/>
                <w:b/>
                <w:sz w:val="32"/>
                <w:szCs w:val="32"/>
              </w:rPr>
            </w:pPr>
            <w:r>
              <w:rPr>
                <w:rFonts w:hint="eastAsia" w:asciiTheme="minorEastAsia" w:hAnsiTheme="minorEastAsia" w:eastAsiaTheme="minorEastAsia"/>
                <w:b/>
                <w:sz w:val="32"/>
                <w:szCs w:val="32"/>
              </w:rPr>
              <w:t>11</w:t>
            </w:r>
          </w:p>
        </w:tc>
        <w:tc>
          <w:tcPr>
            <w:tcW w:w="630" w:type="pct"/>
            <w:vAlign w:val="center"/>
          </w:tcPr>
          <w:p w14:paraId="30360A33">
            <w:pPr>
              <w:spacing w:line="360" w:lineRule="auto"/>
              <w:jc w:val="center"/>
              <w:rPr>
                <w:rFonts w:asciiTheme="minorEastAsia" w:hAnsiTheme="minorEastAsia" w:eastAsiaTheme="minorEastAsia"/>
                <w:b/>
                <w:sz w:val="32"/>
                <w:szCs w:val="32"/>
              </w:rPr>
            </w:pPr>
            <w:r>
              <w:rPr>
                <w:rFonts w:hint="eastAsia" w:asciiTheme="minorEastAsia" w:hAnsiTheme="minorEastAsia" w:eastAsiaTheme="minorEastAsia"/>
                <w:b/>
                <w:sz w:val="32"/>
                <w:szCs w:val="32"/>
              </w:rPr>
              <w:t>0</w:t>
            </w:r>
          </w:p>
        </w:tc>
        <w:tc>
          <w:tcPr>
            <w:tcW w:w="459" w:type="pct"/>
            <w:vAlign w:val="center"/>
          </w:tcPr>
          <w:p w14:paraId="610967F8">
            <w:pPr>
              <w:spacing w:line="360" w:lineRule="auto"/>
              <w:jc w:val="center"/>
              <w:rPr>
                <w:rFonts w:asciiTheme="minorEastAsia" w:hAnsiTheme="minorEastAsia" w:eastAsiaTheme="minorEastAsia"/>
                <w:b/>
                <w:sz w:val="32"/>
                <w:szCs w:val="32"/>
              </w:rPr>
            </w:pPr>
            <w:r>
              <w:rPr>
                <w:rFonts w:hint="eastAsia" w:asciiTheme="minorEastAsia" w:hAnsiTheme="minorEastAsia" w:eastAsiaTheme="minorEastAsia"/>
                <w:b/>
                <w:sz w:val="32"/>
                <w:szCs w:val="32"/>
              </w:rPr>
              <w:t>0</w:t>
            </w:r>
          </w:p>
        </w:tc>
        <w:tc>
          <w:tcPr>
            <w:tcW w:w="966" w:type="pct"/>
            <w:vAlign w:val="center"/>
          </w:tcPr>
          <w:p w14:paraId="1F6FB655">
            <w:pPr>
              <w:spacing w:line="360" w:lineRule="auto"/>
              <w:jc w:val="center"/>
              <w:rPr>
                <w:rFonts w:asciiTheme="minorEastAsia" w:hAnsiTheme="minorEastAsia" w:eastAsiaTheme="minorEastAsia"/>
                <w:b/>
                <w:sz w:val="32"/>
                <w:szCs w:val="32"/>
              </w:rPr>
            </w:pPr>
            <w:r>
              <w:rPr>
                <w:rFonts w:hint="eastAsia" w:asciiTheme="minorEastAsia" w:hAnsiTheme="minorEastAsia" w:eastAsiaTheme="minorEastAsia"/>
                <w:b/>
                <w:sz w:val="32"/>
                <w:szCs w:val="32"/>
              </w:rPr>
              <w:t>11（91.7）</w:t>
            </w:r>
          </w:p>
        </w:tc>
      </w:tr>
    </w:tbl>
    <w:p w14:paraId="283E4D04">
      <w:pPr>
        <w:snapToGrid w:val="0"/>
        <w:spacing w:line="360" w:lineRule="auto"/>
        <w:ind w:firstLine="643" w:firstLineChars="200"/>
        <w:rPr>
          <w:rFonts w:ascii="仿宋" w:hAnsi="仿宋" w:eastAsia="仿宋"/>
          <w:b/>
          <w:sz w:val="32"/>
          <w:szCs w:val="32"/>
        </w:rPr>
      </w:pPr>
      <w:r>
        <w:rPr>
          <w:rFonts w:ascii="仿宋" w:hAnsi="仿宋" w:eastAsia="仿宋"/>
          <w:b/>
          <w:sz w:val="32"/>
          <w:szCs w:val="32"/>
        </w:rPr>
        <w:t>就业去向分析</w:t>
      </w:r>
    </w:p>
    <w:p w14:paraId="7C52C945">
      <w:pPr>
        <w:snapToGrid w:val="0"/>
        <w:spacing w:line="360" w:lineRule="auto"/>
        <w:ind w:firstLine="640" w:firstLineChars="200"/>
        <w:rPr>
          <w:rFonts w:ascii="仿宋" w:hAnsi="仿宋" w:eastAsia="仿宋"/>
          <w:sz w:val="32"/>
          <w:szCs w:val="32"/>
        </w:rPr>
      </w:pPr>
      <w:r>
        <w:rPr>
          <w:rFonts w:hint="eastAsia" w:ascii="仿宋" w:hAnsi="仿宋" w:eastAsia="仿宋"/>
          <w:sz w:val="32"/>
          <w:szCs w:val="32"/>
        </w:rPr>
        <w:t>（</w:t>
      </w:r>
      <w:r>
        <w:rPr>
          <w:rFonts w:ascii="仿宋" w:hAnsi="仿宋" w:eastAsia="仿宋"/>
          <w:sz w:val="32"/>
          <w:szCs w:val="32"/>
        </w:rPr>
        <w:t>1</w:t>
      </w:r>
      <w:r>
        <w:rPr>
          <w:rFonts w:hint="eastAsia" w:ascii="仿宋" w:hAnsi="仿宋" w:eastAsia="仿宋"/>
          <w:sz w:val="32"/>
          <w:szCs w:val="32"/>
        </w:rPr>
        <w:t>）</w:t>
      </w:r>
      <w:r>
        <w:rPr>
          <w:rFonts w:ascii="仿宋" w:hAnsi="仿宋" w:eastAsia="仿宋"/>
          <w:sz w:val="32"/>
          <w:szCs w:val="32"/>
        </w:rPr>
        <w:t>就业地区：</w:t>
      </w:r>
    </w:p>
    <w:p w14:paraId="33486BD7">
      <w:pPr>
        <w:snapToGrid w:val="0"/>
        <w:spacing w:line="360" w:lineRule="auto"/>
        <w:ind w:firstLine="640" w:firstLineChars="200"/>
        <w:rPr>
          <w:rFonts w:ascii="仿宋" w:hAnsi="仿宋" w:eastAsia="仿宋"/>
          <w:sz w:val="32"/>
          <w:szCs w:val="32"/>
        </w:rPr>
      </w:pPr>
      <w:r>
        <w:rPr>
          <w:rFonts w:hint="eastAsia" w:ascii="仿宋" w:hAnsi="仿宋" w:eastAsia="仿宋"/>
          <w:sz w:val="32"/>
          <w:szCs w:val="32"/>
        </w:rPr>
        <w:t>从统计数据中可以看出，硕士研究生主要在河北地区就业，</w:t>
      </w:r>
      <w:r>
        <w:rPr>
          <w:rFonts w:ascii="仿宋" w:hAnsi="仿宋" w:eastAsia="仿宋"/>
          <w:sz w:val="32"/>
          <w:szCs w:val="32"/>
        </w:rPr>
        <w:t>其次</w:t>
      </w:r>
      <w:r>
        <w:rPr>
          <w:rFonts w:hint="eastAsia" w:ascii="仿宋" w:hAnsi="仿宋" w:eastAsia="仿宋"/>
          <w:sz w:val="32"/>
          <w:szCs w:val="32"/>
        </w:rPr>
        <w:t>为北京和天津。我校主要面向河北建设需求培养专业技术类人才，图1、图2说明研究生的就业情况与我校的培养目标相吻合。</w:t>
      </w:r>
      <w:r>
        <w:rPr>
          <w:rFonts w:ascii="仿宋" w:hAnsi="仿宋" w:eastAsia="仿宋"/>
          <w:sz w:val="32"/>
          <w:szCs w:val="32"/>
        </w:rPr>
        <w:t>另外</w:t>
      </w:r>
      <w:r>
        <w:rPr>
          <w:rFonts w:hint="eastAsia" w:ascii="仿宋" w:hAnsi="仿宋" w:eastAsia="仿宋"/>
          <w:sz w:val="32"/>
          <w:szCs w:val="32"/>
        </w:rPr>
        <w:t>，</w:t>
      </w:r>
      <w:r>
        <w:rPr>
          <w:rFonts w:ascii="仿宋" w:hAnsi="仿宋" w:eastAsia="仿宋"/>
          <w:sz w:val="32"/>
          <w:szCs w:val="32"/>
        </w:rPr>
        <w:t>“雄安</w:t>
      </w:r>
      <w:r>
        <w:rPr>
          <w:rFonts w:hint="eastAsia" w:ascii="仿宋" w:hAnsi="仿宋" w:eastAsia="仿宋"/>
          <w:sz w:val="32"/>
          <w:szCs w:val="32"/>
        </w:rPr>
        <w:t>新区</w:t>
      </w:r>
      <w:r>
        <w:rPr>
          <w:rFonts w:ascii="仿宋" w:hAnsi="仿宋" w:eastAsia="仿宋"/>
          <w:sz w:val="32"/>
          <w:szCs w:val="32"/>
        </w:rPr>
        <w:t>”</w:t>
      </w:r>
      <w:r>
        <w:rPr>
          <w:rFonts w:hint="eastAsia" w:ascii="仿宋" w:hAnsi="仿宋" w:eastAsia="仿宋"/>
          <w:sz w:val="32"/>
          <w:szCs w:val="32"/>
        </w:rPr>
        <w:t>需要承接部分首都功能，</w:t>
      </w:r>
      <w:r>
        <w:rPr>
          <w:rFonts w:ascii="仿宋" w:hAnsi="仿宋" w:eastAsia="仿宋"/>
          <w:sz w:val="32"/>
          <w:szCs w:val="32"/>
        </w:rPr>
        <w:t>造就了</w:t>
      </w:r>
      <w:r>
        <w:rPr>
          <w:rFonts w:hint="eastAsia" w:ascii="仿宋" w:hAnsi="仿宋" w:eastAsia="仿宋"/>
          <w:sz w:val="32"/>
          <w:szCs w:val="32"/>
        </w:rPr>
        <w:t>更大的人才市场需求。北京、</w:t>
      </w:r>
      <w:r>
        <w:rPr>
          <w:rFonts w:ascii="仿宋" w:hAnsi="仿宋" w:eastAsia="仿宋"/>
          <w:sz w:val="32"/>
          <w:szCs w:val="32"/>
        </w:rPr>
        <w:t>天津</w:t>
      </w:r>
      <w:r>
        <w:rPr>
          <w:rFonts w:hint="eastAsia" w:ascii="仿宋" w:hAnsi="仿宋" w:eastAsia="仿宋"/>
          <w:sz w:val="32"/>
          <w:szCs w:val="32"/>
        </w:rPr>
        <w:t>作为祖国的首都和直辖市，在信息、机会、</w:t>
      </w:r>
      <w:r>
        <w:rPr>
          <w:rFonts w:ascii="仿宋" w:hAnsi="仿宋" w:eastAsia="仿宋"/>
          <w:sz w:val="32"/>
          <w:szCs w:val="32"/>
        </w:rPr>
        <w:t>待遇</w:t>
      </w:r>
      <w:r>
        <w:rPr>
          <w:rFonts w:hint="eastAsia" w:ascii="仿宋" w:hAnsi="仿宋" w:eastAsia="仿宋"/>
          <w:sz w:val="32"/>
          <w:szCs w:val="32"/>
        </w:rPr>
        <w:t>各个方面有着其他省市无与伦比的优势，</w:t>
      </w:r>
      <w:r>
        <w:rPr>
          <w:rFonts w:ascii="仿宋" w:hAnsi="仿宋" w:eastAsia="仿宋"/>
          <w:sz w:val="32"/>
          <w:szCs w:val="32"/>
        </w:rPr>
        <w:t>加之</w:t>
      </w:r>
      <w:r>
        <w:rPr>
          <w:rFonts w:hint="eastAsia" w:ascii="仿宋" w:hAnsi="仿宋" w:eastAsia="仿宋"/>
          <w:sz w:val="32"/>
          <w:szCs w:val="32"/>
        </w:rPr>
        <w:t>与河北毗邻，</w:t>
      </w:r>
      <w:r>
        <w:rPr>
          <w:rFonts w:ascii="仿宋" w:hAnsi="仿宋" w:eastAsia="仿宋"/>
          <w:sz w:val="32"/>
          <w:szCs w:val="32"/>
        </w:rPr>
        <w:t>自然</w:t>
      </w:r>
      <w:r>
        <w:rPr>
          <w:rFonts w:hint="eastAsia" w:ascii="仿宋" w:hAnsi="仿宋" w:eastAsia="仿宋"/>
          <w:sz w:val="32"/>
          <w:szCs w:val="32"/>
        </w:rPr>
        <w:t>也成为了我校研究生就业的重要选项。</w:t>
      </w:r>
    </w:p>
    <w:p w14:paraId="7691BB31">
      <w:pPr>
        <w:snapToGrid w:val="0"/>
        <w:spacing w:line="360" w:lineRule="auto"/>
        <w:ind w:firstLine="640" w:firstLineChars="200"/>
        <w:rPr>
          <w:rFonts w:ascii="仿宋" w:hAnsi="仿宋" w:eastAsia="仿宋"/>
          <w:sz w:val="32"/>
          <w:szCs w:val="32"/>
        </w:rPr>
      </w:pPr>
      <w:r>
        <w:rPr>
          <w:rFonts w:hint="eastAsia" w:ascii="仿宋" w:hAnsi="仿宋" w:eastAsia="仿宋"/>
          <w:sz w:val="32"/>
          <w:szCs w:val="32"/>
        </w:rPr>
        <w:t>（2）工作性质</w:t>
      </w:r>
    </w:p>
    <w:p w14:paraId="729BD29A">
      <w:pPr>
        <w:snapToGrid w:val="0"/>
        <w:spacing w:line="360" w:lineRule="auto"/>
        <w:ind w:firstLine="640" w:firstLineChars="200"/>
        <w:rPr>
          <w:rFonts w:ascii="仿宋" w:hAnsi="仿宋" w:eastAsia="仿宋"/>
          <w:bCs/>
          <w:sz w:val="32"/>
          <w:szCs w:val="32"/>
        </w:rPr>
      </w:pPr>
      <w:r>
        <w:rPr>
          <w:rFonts w:hint="eastAsia" w:ascii="仿宋" w:hAnsi="仿宋" w:eastAsia="仿宋"/>
          <w:bCs/>
          <w:sz w:val="32"/>
          <w:szCs w:val="32"/>
        </w:rPr>
        <w:t>如图2所示，就业的109人中，</w:t>
      </w:r>
      <w:r>
        <w:rPr>
          <w:rFonts w:ascii="仿宋" w:hAnsi="仿宋" w:eastAsia="仿宋"/>
          <w:bCs/>
          <w:sz w:val="32"/>
          <w:szCs w:val="32"/>
        </w:rPr>
        <w:t>有9%从事</w:t>
      </w:r>
      <w:r>
        <w:rPr>
          <w:rFonts w:hint="eastAsia" w:ascii="仿宋" w:hAnsi="仿宋" w:eastAsia="仿宋"/>
          <w:bCs/>
          <w:sz w:val="32"/>
          <w:szCs w:val="32"/>
        </w:rPr>
        <w:t>相关专业的教育科研工作；5</w:t>
      </w:r>
      <w:r>
        <w:rPr>
          <w:rFonts w:ascii="仿宋" w:hAnsi="仿宋" w:eastAsia="仿宋"/>
          <w:bCs/>
          <w:sz w:val="32"/>
          <w:szCs w:val="32"/>
        </w:rPr>
        <w:t>5%</w:t>
      </w:r>
      <w:r>
        <w:rPr>
          <w:rFonts w:hint="eastAsia" w:ascii="仿宋" w:hAnsi="仿宋" w:eastAsia="仿宋"/>
          <w:bCs/>
          <w:sz w:val="32"/>
          <w:szCs w:val="32"/>
        </w:rPr>
        <w:t>从事专业相关的技术研发；1</w:t>
      </w:r>
      <w:r>
        <w:rPr>
          <w:rFonts w:ascii="仿宋" w:hAnsi="仿宋" w:eastAsia="仿宋"/>
          <w:bCs/>
          <w:sz w:val="32"/>
          <w:szCs w:val="32"/>
        </w:rPr>
        <w:t>9%</w:t>
      </w:r>
      <w:r>
        <w:rPr>
          <w:rFonts w:hint="eastAsia" w:ascii="仿宋" w:hAnsi="仿宋" w:eastAsia="仿宋"/>
          <w:bCs/>
          <w:sz w:val="32"/>
          <w:szCs w:val="32"/>
        </w:rPr>
        <w:t>从事专业相关的管理和销售工作；1</w:t>
      </w:r>
      <w:r>
        <w:rPr>
          <w:rFonts w:ascii="仿宋" w:hAnsi="仿宋" w:eastAsia="仿宋"/>
          <w:bCs/>
          <w:sz w:val="32"/>
          <w:szCs w:val="32"/>
        </w:rPr>
        <w:t>0%</w:t>
      </w:r>
      <w:r>
        <w:rPr>
          <w:rFonts w:hint="eastAsia" w:ascii="仿宋" w:hAnsi="仿宋" w:eastAsia="仿宋"/>
          <w:bCs/>
          <w:sz w:val="32"/>
          <w:szCs w:val="32"/>
        </w:rPr>
        <w:t>为现役技术岗军人。这些年，我校针对人才市场的需求变化，调整研究生培养目标，注重培养理论联系实际的 “创新应用型</w:t>
      </w:r>
      <w:r>
        <w:rPr>
          <w:rFonts w:ascii="仿宋" w:hAnsi="仿宋" w:eastAsia="仿宋"/>
          <w:bCs/>
          <w:sz w:val="32"/>
          <w:szCs w:val="32"/>
        </w:rPr>
        <w:t>”</w:t>
      </w:r>
      <w:r>
        <w:rPr>
          <w:rFonts w:hint="eastAsia" w:ascii="仿宋" w:hAnsi="仿宋" w:eastAsia="仿宋"/>
          <w:bCs/>
          <w:sz w:val="32"/>
          <w:szCs w:val="32"/>
        </w:rPr>
        <w:t>人才。从统计数据中可以看出，</w:t>
      </w:r>
      <w:r>
        <w:rPr>
          <w:rFonts w:ascii="仿宋" w:hAnsi="仿宋" w:eastAsia="仿宋"/>
          <w:bCs/>
          <w:sz w:val="32"/>
          <w:szCs w:val="32"/>
        </w:rPr>
        <w:t>大部分</w:t>
      </w:r>
      <w:r>
        <w:rPr>
          <w:rFonts w:hint="eastAsia" w:ascii="仿宋" w:hAnsi="仿宋" w:eastAsia="仿宋"/>
          <w:bCs/>
          <w:sz w:val="32"/>
          <w:szCs w:val="32"/>
        </w:rPr>
        <w:t>毕业研究生并未进入高校和研究所从事科研工作，</w:t>
      </w:r>
      <w:r>
        <w:rPr>
          <w:rFonts w:ascii="仿宋" w:hAnsi="仿宋" w:eastAsia="仿宋"/>
          <w:bCs/>
          <w:sz w:val="32"/>
          <w:szCs w:val="32"/>
        </w:rPr>
        <w:t>而是</w:t>
      </w:r>
      <w:r>
        <w:rPr>
          <w:rFonts w:hint="eastAsia" w:ascii="仿宋" w:hAnsi="仿宋" w:eastAsia="仿宋"/>
          <w:bCs/>
          <w:sz w:val="32"/>
          <w:szCs w:val="32"/>
        </w:rPr>
        <w:t>进入了企业、军队等机构，投身于与生产生活结合更为紧密的技术创新工作。另一方面，立足于学科发展，从应用中提炼出学术问题，择优培养少数的“精英研究型”人才。为高校及研究所提供了未来的生力军。</w:t>
      </w:r>
    </w:p>
    <w:p w14:paraId="65F7CC72">
      <w:pPr>
        <w:snapToGrid w:val="0"/>
        <w:spacing w:line="360" w:lineRule="auto"/>
        <w:ind w:firstLine="640" w:firstLineChars="200"/>
        <w:rPr>
          <w:rFonts w:ascii="仿宋" w:hAnsi="仿宋" w:eastAsia="仿宋"/>
          <w:bCs/>
          <w:sz w:val="32"/>
          <w:szCs w:val="32"/>
        </w:rPr>
      </w:pPr>
      <w:r>
        <w:rPr>
          <w:rFonts w:hint="eastAsia" w:ascii="仿宋" w:hAnsi="仿宋" w:eastAsia="仿宋"/>
          <w:bCs/>
          <w:sz w:val="32"/>
          <w:szCs w:val="32"/>
        </w:rPr>
        <w:t>（3）吻合度</w:t>
      </w:r>
    </w:p>
    <w:p w14:paraId="59103CF3">
      <w:pPr>
        <w:snapToGrid w:val="0"/>
        <w:spacing w:line="360" w:lineRule="auto"/>
        <w:ind w:firstLine="640" w:firstLineChars="200"/>
        <w:rPr>
          <w:rFonts w:ascii="仿宋" w:hAnsi="仿宋" w:eastAsia="仿宋"/>
          <w:bCs/>
          <w:sz w:val="32"/>
          <w:szCs w:val="32"/>
        </w:rPr>
      </w:pPr>
      <w:r>
        <w:rPr>
          <w:rFonts w:hint="eastAsia" w:ascii="仿宋" w:hAnsi="仿宋" w:eastAsia="仿宋"/>
          <w:bCs/>
          <w:sz w:val="32"/>
          <w:szCs w:val="32"/>
        </w:rPr>
        <w:t>综上所述，9</w:t>
      </w:r>
      <w:r>
        <w:rPr>
          <w:rFonts w:ascii="仿宋" w:hAnsi="仿宋" w:eastAsia="仿宋"/>
          <w:bCs/>
          <w:sz w:val="32"/>
          <w:szCs w:val="32"/>
        </w:rPr>
        <w:t>4</w:t>
      </w:r>
      <w:r>
        <w:rPr>
          <w:rFonts w:hint="eastAsia" w:ascii="仿宋" w:hAnsi="仿宋" w:eastAsia="仿宋"/>
          <w:bCs/>
          <w:sz w:val="32"/>
          <w:szCs w:val="32"/>
        </w:rPr>
        <w:t>%的毕业生从事与专业相关的工作或继续读博深造。其中，</w:t>
      </w:r>
      <w:r>
        <w:rPr>
          <w:rFonts w:ascii="仿宋" w:hAnsi="仿宋" w:eastAsia="仿宋"/>
          <w:bCs/>
          <w:sz w:val="32"/>
          <w:szCs w:val="32"/>
        </w:rPr>
        <w:t>65</w:t>
      </w:r>
      <w:r>
        <w:rPr>
          <w:rFonts w:hint="eastAsia" w:ascii="仿宋" w:hAnsi="仿宋" w:eastAsia="仿宋"/>
          <w:bCs/>
          <w:sz w:val="32"/>
          <w:szCs w:val="32"/>
        </w:rPr>
        <w:t>%与本专业高度吻合：技术性工作，</w:t>
      </w:r>
      <w:r>
        <w:rPr>
          <w:rFonts w:ascii="仿宋" w:hAnsi="仿宋" w:eastAsia="仿宋"/>
          <w:bCs/>
          <w:sz w:val="32"/>
          <w:szCs w:val="32"/>
        </w:rPr>
        <w:t>高校</w:t>
      </w:r>
      <w:r>
        <w:rPr>
          <w:rFonts w:hint="eastAsia" w:ascii="仿宋" w:hAnsi="仿宋" w:eastAsia="仿宋"/>
          <w:bCs/>
          <w:sz w:val="32"/>
          <w:szCs w:val="32"/>
        </w:rPr>
        <w:t>研究所与读博。2</w:t>
      </w:r>
      <w:r>
        <w:rPr>
          <w:rFonts w:ascii="仿宋" w:hAnsi="仿宋" w:eastAsia="仿宋"/>
          <w:bCs/>
          <w:sz w:val="32"/>
          <w:szCs w:val="32"/>
        </w:rPr>
        <w:t>8</w:t>
      </w:r>
      <w:r>
        <w:rPr>
          <w:rFonts w:hint="eastAsia" w:ascii="仿宋" w:hAnsi="仿宋" w:eastAsia="仿宋"/>
          <w:bCs/>
          <w:sz w:val="32"/>
          <w:szCs w:val="32"/>
        </w:rPr>
        <w:t>%的工作与专业中度吻合。其余的毕业生工作与专业无显性关系。第一类毕业生以所学专业知识为主要谋生手段，硕士阶段的学习奠定了他们个人发展的基础。第二类毕业生的工作不需要用到具体的技术，但对专业基本概念、设计理念及发展态势的了解是他们必备的工作素质。对第三类毕业生而言，在学习过程中训练出的逻辑思维和问题分析能力在他们的工作中有着不可忽视的隐性助益。</w:t>
      </w:r>
    </w:p>
    <w:p w14:paraId="64BE6818">
      <w:pPr>
        <w:spacing w:before="120" w:beforeLines="50" w:after="120" w:afterLines="50" w:line="540" w:lineRule="exact"/>
        <w:ind w:firstLine="630" w:firstLineChars="196"/>
        <w:jc w:val="left"/>
        <w:rPr>
          <w:rFonts w:ascii="仿宋" w:hAnsi="仿宋" w:eastAsia="仿宋"/>
          <w:b/>
          <w:sz w:val="32"/>
          <w:szCs w:val="32"/>
        </w:rPr>
      </w:pPr>
      <w:r>
        <w:rPr>
          <w:rFonts w:hint="eastAsia" w:ascii="仿宋" w:hAnsi="仿宋" w:eastAsia="仿宋"/>
          <w:b/>
          <w:sz w:val="32"/>
          <w:szCs w:val="32"/>
        </w:rPr>
        <w:t>四、服务贡献</w:t>
      </w:r>
    </w:p>
    <w:p w14:paraId="05008481">
      <w:pPr>
        <w:snapToGrid w:val="0"/>
        <w:spacing w:line="360" w:lineRule="auto"/>
        <w:ind w:firstLine="640" w:firstLineChars="200"/>
        <w:rPr>
          <w:rFonts w:ascii="仿宋" w:hAnsi="仿宋" w:eastAsia="仿宋"/>
          <w:bCs/>
          <w:sz w:val="32"/>
          <w:szCs w:val="32"/>
        </w:rPr>
      </w:pPr>
      <w:r>
        <w:rPr>
          <w:rFonts w:hint="eastAsia" w:ascii="仿宋" w:hAnsi="仿宋" w:eastAsia="仿宋"/>
          <w:bCs/>
          <w:sz w:val="32"/>
          <w:szCs w:val="32"/>
        </w:rPr>
        <w:t>（1）</w:t>
      </w:r>
      <w:r>
        <w:rPr>
          <w:rFonts w:ascii="仿宋" w:hAnsi="仿宋" w:eastAsia="仿宋"/>
          <w:bCs/>
          <w:sz w:val="32"/>
          <w:szCs w:val="32"/>
        </w:rPr>
        <w:t>通过研究理论创新，为环境科学与工程理论不断做出学术贡献</w:t>
      </w:r>
      <w:r>
        <w:rPr>
          <w:rFonts w:hint="eastAsia" w:ascii="仿宋" w:hAnsi="仿宋" w:eastAsia="仿宋"/>
          <w:bCs/>
          <w:sz w:val="32"/>
          <w:szCs w:val="32"/>
        </w:rPr>
        <w:t>；</w:t>
      </w:r>
      <w:r>
        <w:rPr>
          <w:rFonts w:ascii="仿宋" w:hAnsi="仿宋" w:eastAsia="仿宋"/>
          <w:bCs/>
          <w:sz w:val="32"/>
          <w:szCs w:val="32"/>
        </w:rPr>
        <w:t>近年来，团队成员发表核心期刊论文68篇，其中SCI收录29篇，EI收录7篇，其中王洪杰教授在2019年发表学术顶刊Science 1篇，为环境科学与工程学科的发展做出了突出的贡献；梁淑轩教授通过田间试验，研究了NHAP和NCB联合应用对黑麦草植物提取铅的影响，强化了土壤修复化技术；刘微教授以生物炭为改性剂，在污泥和秸秆混合剂中分别添加0%，1%，3%，5%，和7%的生物炭，提高了堆肥效率，且同时降低重金属的生物有效性和堆肥过程中氮的损失。</w:t>
      </w:r>
    </w:p>
    <w:p w14:paraId="55025C03">
      <w:pPr>
        <w:snapToGrid w:val="0"/>
        <w:spacing w:line="360" w:lineRule="auto"/>
        <w:ind w:firstLine="640" w:firstLineChars="200"/>
        <w:rPr>
          <w:rFonts w:ascii="仿宋" w:hAnsi="仿宋" w:eastAsia="仿宋"/>
          <w:bCs/>
          <w:sz w:val="32"/>
          <w:szCs w:val="32"/>
        </w:rPr>
      </w:pPr>
      <w:r>
        <w:rPr>
          <w:rFonts w:hint="eastAsia" w:ascii="仿宋" w:hAnsi="仿宋" w:eastAsia="仿宋"/>
          <w:bCs/>
          <w:sz w:val="32"/>
          <w:szCs w:val="32"/>
        </w:rPr>
        <w:t>（2）</w:t>
      </w:r>
      <w:r>
        <w:rPr>
          <w:rFonts w:ascii="仿宋" w:hAnsi="仿宋" w:eastAsia="仿宋"/>
          <w:bCs/>
          <w:sz w:val="32"/>
          <w:szCs w:val="32"/>
        </w:rPr>
        <w:t>发挥工程优势，积极促进学术成果转化</w:t>
      </w:r>
      <w:r>
        <w:rPr>
          <w:rFonts w:hint="eastAsia" w:ascii="仿宋" w:hAnsi="仿宋" w:eastAsia="仿宋"/>
          <w:bCs/>
          <w:sz w:val="32"/>
          <w:szCs w:val="32"/>
        </w:rPr>
        <w:t>；</w:t>
      </w:r>
      <w:r>
        <w:rPr>
          <w:rFonts w:ascii="仿宋" w:hAnsi="仿宋" w:eastAsia="仿宋"/>
          <w:bCs/>
          <w:sz w:val="32"/>
          <w:szCs w:val="32"/>
        </w:rPr>
        <w:t>学科带头人王洪杰教授将学术成果应用到雄安新区的建设中，并取得一些进展。其中2019年6月，应用于府河河口湿地水质净化工程，建设藻笮淀湿地生态修复示范工程，建设规模4km2，处理水量约20万m3/d；2019年6月，应用于孝义河河口湿地水质净化工程，建设马棚淀湿地生态修复示范工程，规模1.98km2，处理水量约15万m3/d。</w:t>
      </w:r>
    </w:p>
    <w:p w14:paraId="21431A27">
      <w:pPr>
        <w:snapToGrid w:val="0"/>
        <w:spacing w:line="360" w:lineRule="auto"/>
        <w:ind w:firstLine="640" w:firstLineChars="200"/>
        <w:rPr>
          <w:rFonts w:ascii="仿宋" w:hAnsi="仿宋" w:eastAsia="仿宋"/>
          <w:bCs/>
          <w:sz w:val="32"/>
          <w:szCs w:val="32"/>
        </w:rPr>
      </w:pPr>
      <w:r>
        <w:rPr>
          <w:rFonts w:hint="eastAsia" w:ascii="仿宋" w:hAnsi="仿宋" w:eastAsia="仿宋"/>
          <w:bCs/>
          <w:sz w:val="32"/>
          <w:szCs w:val="32"/>
        </w:rPr>
        <w:t>（3）</w:t>
      </w:r>
      <w:r>
        <w:rPr>
          <w:rFonts w:ascii="仿宋" w:hAnsi="仿宋" w:eastAsia="仿宋"/>
          <w:bCs/>
          <w:sz w:val="32"/>
          <w:szCs w:val="32"/>
        </w:rPr>
        <w:t>发挥高校优势，培养优秀人才，弘扬文化传统</w:t>
      </w:r>
      <w:r>
        <w:rPr>
          <w:rFonts w:hint="eastAsia" w:ascii="仿宋" w:hAnsi="仿宋" w:eastAsia="仿宋"/>
          <w:bCs/>
          <w:sz w:val="32"/>
          <w:szCs w:val="32"/>
        </w:rPr>
        <w:t>；</w:t>
      </w:r>
      <w:r>
        <w:rPr>
          <w:rFonts w:ascii="仿宋" w:hAnsi="仿宋" w:eastAsia="仿宋"/>
          <w:bCs/>
          <w:sz w:val="32"/>
          <w:szCs w:val="32"/>
        </w:rPr>
        <w:t>学科成员专任教师40余人，具有高级职称17人，为环境科学与工程专业培养研究生185人，授予学位58人。研究生们积极参与学术和社会实践，其中博士生张圣琦研究生，参与十三五水专项课题“白洋淀与大清河流域（雄安新区）水生态环境整治与水安全保障关键技术研究与示范”研究，同时协助雄安新区生态局的工作，参与了雄安新区大气及地下水的监测和白洋淀水质监测的工作，参与白洋淀监测点位加密布设的工作。</w:t>
      </w:r>
    </w:p>
    <w:p w14:paraId="2702AEB5">
      <w:pPr>
        <w:snapToGrid w:val="0"/>
        <w:spacing w:line="360" w:lineRule="auto"/>
        <w:ind w:firstLine="640" w:firstLineChars="200"/>
        <w:rPr>
          <w:rFonts w:ascii="仿宋" w:hAnsi="仿宋" w:eastAsia="仿宋"/>
          <w:bCs/>
          <w:sz w:val="32"/>
          <w:szCs w:val="32"/>
        </w:rPr>
      </w:pPr>
      <w:r>
        <w:rPr>
          <w:rFonts w:hint="eastAsia" w:ascii="仿宋" w:hAnsi="仿宋" w:eastAsia="仿宋"/>
          <w:bCs/>
          <w:sz w:val="32"/>
          <w:szCs w:val="32"/>
        </w:rPr>
        <w:t>（4）</w:t>
      </w:r>
      <w:r>
        <w:rPr>
          <w:rFonts w:ascii="仿宋" w:hAnsi="仿宋" w:eastAsia="仿宋"/>
          <w:bCs/>
          <w:sz w:val="32"/>
          <w:szCs w:val="32"/>
        </w:rPr>
        <w:t>积极组织和参与学科学术交流活动</w:t>
      </w:r>
      <w:r>
        <w:rPr>
          <w:rFonts w:hint="eastAsia" w:ascii="仿宋" w:hAnsi="仿宋" w:eastAsia="仿宋"/>
          <w:bCs/>
          <w:sz w:val="32"/>
          <w:szCs w:val="32"/>
        </w:rPr>
        <w:t>；</w:t>
      </w:r>
      <w:r>
        <w:rPr>
          <w:rFonts w:ascii="仿宋" w:hAnsi="仿宋" w:eastAsia="仿宋"/>
          <w:bCs/>
          <w:sz w:val="32"/>
          <w:szCs w:val="32"/>
        </w:rPr>
        <w:t>2017-2019年共举办首届水环境产学研科技论坛、生态修复与白洋淀流域环境治理国际学术研讨会等学术会议、第十二届华北地区五省市化学学术研讨会、京津冀区域生态环境保护与一体化治理高级研修班和全国场流分离技术研讨会5项。在国内外重要学会会议上做学术报告9次，邀请境外专家讲座报告15次。</w:t>
      </w:r>
    </w:p>
    <w:p w14:paraId="4551AFAD">
      <w:pPr>
        <w:snapToGrid w:val="0"/>
        <w:spacing w:line="360" w:lineRule="auto"/>
        <w:ind w:firstLine="640" w:firstLineChars="200"/>
        <w:rPr>
          <w:rFonts w:ascii="仿宋" w:hAnsi="仿宋" w:eastAsia="仿宋"/>
          <w:bCs/>
          <w:sz w:val="32"/>
          <w:szCs w:val="32"/>
        </w:rPr>
      </w:pPr>
      <w:r>
        <w:rPr>
          <w:rFonts w:hint="eastAsia" w:ascii="仿宋" w:hAnsi="仿宋" w:eastAsia="仿宋"/>
          <w:bCs/>
          <w:sz w:val="32"/>
          <w:szCs w:val="32"/>
        </w:rPr>
        <w:t>（5）协助雄安新区智库平台建设；智库是指以公共政策为研究对象，以影响政府策略为研究目标，以公共利益为研究导向，以社会责任为研究准则的专业研究机构。为协助雄安新区“智库”平台建设，王洪杰教授指导博士生张圣琦、李舵、硕士生李梦祥、韩洋洋、李旭、章裕、王汝建、孙晨等同学以水专项课题“入淀湿地复合生态系统构建技术研究和工程示范”研究为背景，协助编写《北方草型湖泊生态修复策略》，有效的促进了智库平台的建设。</w:t>
      </w:r>
    </w:p>
    <w:p w14:paraId="6F473713">
      <w:pPr>
        <w:snapToGrid w:val="0"/>
        <w:spacing w:line="360" w:lineRule="auto"/>
        <w:ind w:firstLine="640" w:firstLineChars="200"/>
        <w:rPr>
          <w:rFonts w:ascii="仿宋" w:hAnsi="仿宋" w:eastAsia="仿宋"/>
          <w:bCs/>
          <w:sz w:val="32"/>
          <w:szCs w:val="32"/>
        </w:rPr>
      </w:pPr>
      <w:r>
        <w:rPr>
          <w:rFonts w:hint="eastAsia" w:ascii="仿宋" w:hAnsi="仿宋" w:eastAsia="仿宋"/>
          <w:bCs/>
          <w:sz w:val="32"/>
          <w:szCs w:val="32"/>
        </w:rPr>
        <w:t>（6）建立“白洋淀环境保护科学观测研究站”，白洋淀环境保护科学研究观测站是河北大学依托水专项白洋淀项目、河北省湿地近自然修复技术重点实验室，联合多家单位共同建立在白洋淀腹地的综合性野外科学研究观测站。为了保证白洋淀水处理科学研究的实践意义，研究站的选址定在白洋淀的最中心区域，坐落于典型的淀中村圈头乡桥东村淀边，紧邻圈头国控点。但同时由于处于白洋淀的中心区域，交通环境较差，使得研究站需要的设施的运输成为比较大的难题。为了解决这一问题，王洪杰教授指导硕研究生李梦祥，积极与当地人沟通，最终找到合适的运输路线，陆续将所需设备运输到观测站。 最终建立具备了学习科研、会议接待、生活住宿的功能的观测站，一些科研成果可以直接应用于白洋淀的水治理和生态治理，同样也将白洋淀的一些实时数据反馈给学校和相应的研究团队，为下一步实验研究提供必需的数据。白洋淀环境保护科学研究观测站的建立不仅可以为水专项和湿地近自然修复提供了实时的现场数据，同时也可以作为一个展示平台，将取得的实验成果应用于白洋淀的环境生态处理中，充分体现出产学研相结合的研究思想，为环境科学与工程学科在产学研结合中提供了一个可行的实例。</w:t>
      </w:r>
    </w:p>
    <w:p w14:paraId="3E7EB5C4">
      <w:pPr>
        <w:snapToGrid w:val="0"/>
        <w:spacing w:line="360" w:lineRule="auto"/>
        <w:ind w:firstLine="640" w:firstLineChars="200"/>
        <w:rPr>
          <w:rFonts w:ascii="仿宋" w:hAnsi="仿宋" w:eastAsia="仿宋"/>
          <w:bCs/>
          <w:sz w:val="32"/>
          <w:szCs w:val="32"/>
        </w:rPr>
      </w:pPr>
      <w:r>
        <w:rPr>
          <w:rFonts w:hint="eastAsia" w:ascii="仿宋" w:hAnsi="仿宋" w:eastAsia="仿宋"/>
          <w:bCs/>
          <w:sz w:val="32"/>
          <w:szCs w:val="32"/>
        </w:rPr>
        <w:t>（7）主导编写服务于雄安新区和白洋淀生态环境治理的技术方案，王洪杰教授指导韩洋洋、李梦祥硕士研究生主导编写了《雄安新区十四五水生态保护要点》、《白洋淀全淀区监测方案》技术方案。其中在《雄安新区十四五水生态保护要点》技术方案中，分析了雄安新区的人文地理、水系特征、水文气候、自然生态、土地利用和社会经济等方面的内容；在《白洋淀全淀区监测方案》中分析了白洋淀的区域现状，提出了监测目的，总结出了监测原则，凝练了监测分区和检测位点布置，提供了测方案和方法，为雄安新区“十四五”规划编制、白洋淀流域生态环境治理提供技术支撑，并得到了雄安生态环境部和雄安生态管委会的高度认可。这体现出了河北大学王洪杰教授强烈的社会责任感，和作为雄安生态环境研究院负责人的强烈的使命感。</w:t>
      </w:r>
    </w:p>
    <w:sectPr>
      <w:headerReference r:id="rId5" w:type="default"/>
      <w:footerReference r:id="rId6" w:type="default"/>
      <w:pgSz w:w="11906" w:h="16838"/>
      <w:pgMar w:top="1701" w:right="1701" w:bottom="1418" w:left="1701" w:header="720" w:footer="720" w:gutter="0"/>
      <w:cols w:space="720" w:num="1"/>
      <w:docGrid w:linePitch="28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仿宋_GBK">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Helvetica">
    <w:altName w:val="Arial"/>
    <w:panose1 w:val="020B0604020202020204"/>
    <w:charset w:val="00"/>
    <w:family w:val="swiss"/>
    <w:pitch w:val="default"/>
    <w:sig w:usb0="00000000" w:usb1="00000000"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84DBC7">
    <w:pPr>
      <w:pStyle w:val="4"/>
      <w:jc w:val="center"/>
    </w:pPr>
    <w:r>
      <w:rPr>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Pr>
        <w:kern w:val="0"/>
        <w:szCs w:val="21"/>
      </w:rPr>
      <w:t>1</w:t>
    </w:r>
    <w:r>
      <w:rPr>
        <w:kern w:val="0"/>
        <w:szCs w:val="21"/>
      </w:rPr>
      <w:fldChar w:fldCharType="end"/>
    </w:r>
    <w:r>
      <w:rPr>
        <w:kern w:val="0"/>
        <w:szCs w:val="21"/>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F9D5CF">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86600"/>
    <w:rsid w:val="000000C1"/>
    <w:rsid w:val="000008FF"/>
    <w:rsid w:val="000019E1"/>
    <w:rsid w:val="00001D54"/>
    <w:rsid w:val="00003FCE"/>
    <w:rsid w:val="00004122"/>
    <w:rsid w:val="000044F0"/>
    <w:rsid w:val="00005CA9"/>
    <w:rsid w:val="00006327"/>
    <w:rsid w:val="000071B4"/>
    <w:rsid w:val="0000784D"/>
    <w:rsid w:val="000132AE"/>
    <w:rsid w:val="0001354B"/>
    <w:rsid w:val="000154A6"/>
    <w:rsid w:val="00016429"/>
    <w:rsid w:val="00017F59"/>
    <w:rsid w:val="00020B52"/>
    <w:rsid w:val="00021060"/>
    <w:rsid w:val="0002242C"/>
    <w:rsid w:val="00024EA8"/>
    <w:rsid w:val="000256F5"/>
    <w:rsid w:val="00025DCB"/>
    <w:rsid w:val="00025F95"/>
    <w:rsid w:val="0002686E"/>
    <w:rsid w:val="00027866"/>
    <w:rsid w:val="000300E8"/>
    <w:rsid w:val="000330BE"/>
    <w:rsid w:val="00034E93"/>
    <w:rsid w:val="000364BD"/>
    <w:rsid w:val="00036522"/>
    <w:rsid w:val="00037BB0"/>
    <w:rsid w:val="0004018A"/>
    <w:rsid w:val="00040349"/>
    <w:rsid w:val="00040E21"/>
    <w:rsid w:val="00041BE5"/>
    <w:rsid w:val="000423CB"/>
    <w:rsid w:val="000433C8"/>
    <w:rsid w:val="000442EC"/>
    <w:rsid w:val="00045CD3"/>
    <w:rsid w:val="0004688D"/>
    <w:rsid w:val="0005083E"/>
    <w:rsid w:val="00052533"/>
    <w:rsid w:val="00052645"/>
    <w:rsid w:val="0005292D"/>
    <w:rsid w:val="00053201"/>
    <w:rsid w:val="00054382"/>
    <w:rsid w:val="0005443A"/>
    <w:rsid w:val="00054F97"/>
    <w:rsid w:val="00057C30"/>
    <w:rsid w:val="00061E26"/>
    <w:rsid w:val="000625C6"/>
    <w:rsid w:val="000627B7"/>
    <w:rsid w:val="000631E2"/>
    <w:rsid w:val="00063CE1"/>
    <w:rsid w:val="00063F1F"/>
    <w:rsid w:val="0006475C"/>
    <w:rsid w:val="000663FF"/>
    <w:rsid w:val="00066C14"/>
    <w:rsid w:val="00067CF0"/>
    <w:rsid w:val="00067FCB"/>
    <w:rsid w:val="00070320"/>
    <w:rsid w:val="000709A8"/>
    <w:rsid w:val="00072622"/>
    <w:rsid w:val="00072B07"/>
    <w:rsid w:val="00072F8F"/>
    <w:rsid w:val="00075B64"/>
    <w:rsid w:val="000777B6"/>
    <w:rsid w:val="000802F1"/>
    <w:rsid w:val="00081889"/>
    <w:rsid w:val="0008419E"/>
    <w:rsid w:val="00084296"/>
    <w:rsid w:val="00085E43"/>
    <w:rsid w:val="00086689"/>
    <w:rsid w:val="000905AA"/>
    <w:rsid w:val="000957C3"/>
    <w:rsid w:val="00096A94"/>
    <w:rsid w:val="000A02EE"/>
    <w:rsid w:val="000A0366"/>
    <w:rsid w:val="000A1DB9"/>
    <w:rsid w:val="000A2601"/>
    <w:rsid w:val="000A2FE8"/>
    <w:rsid w:val="000A3A74"/>
    <w:rsid w:val="000A5B92"/>
    <w:rsid w:val="000A6487"/>
    <w:rsid w:val="000A710F"/>
    <w:rsid w:val="000B151F"/>
    <w:rsid w:val="000B2CD7"/>
    <w:rsid w:val="000B4149"/>
    <w:rsid w:val="000B5358"/>
    <w:rsid w:val="000B5763"/>
    <w:rsid w:val="000B766B"/>
    <w:rsid w:val="000B79F7"/>
    <w:rsid w:val="000C06BD"/>
    <w:rsid w:val="000C0AD1"/>
    <w:rsid w:val="000C22CC"/>
    <w:rsid w:val="000C24A3"/>
    <w:rsid w:val="000C3147"/>
    <w:rsid w:val="000C4ED5"/>
    <w:rsid w:val="000C586E"/>
    <w:rsid w:val="000C6579"/>
    <w:rsid w:val="000D08D5"/>
    <w:rsid w:val="000D2907"/>
    <w:rsid w:val="000D5E47"/>
    <w:rsid w:val="000D628F"/>
    <w:rsid w:val="000D6AC8"/>
    <w:rsid w:val="000D7D4B"/>
    <w:rsid w:val="000E037B"/>
    <w:rsid w:val="000E0C20"/>
    <w:rsid w:val="000E1DE5"/>
    <w:rsid w:val="000E24A9"/>
    <w:rsid w:val="000E2B95"/>
    <w:rsid w:val="000E3D5E"/>
    <w:rsid w:val="000E4CBE"/>
    <w:rsid w:val="000E56FC"/>
    <w:rsid w:val="000E5A92"/>
    <w:rsid w:val="000E6216"/>
    <w:rsid w:val="000E6BA7"/>
    <w:rsid w:val="000F24F5"/>
    <w:rsid w:val="000F2F41"/>
    <w:rsid w:val="000F391F"/>
    <w:rsid w:val="000F3991"/>
    <w:rsid w:val="000F4414"/>
    <w:rsid w:val="000F5B3F"/>
    <w:rsid w:val="000F5DBA"/>
    <w:rsid w:val="000F6DFF"/>
    <w:rsid w:val="000F7F0C"/>
    <w:rsid w:val="00100183"/>
    <w:rsid w:val="00102817"/>
    <w:rsid w:val="00102D3E"/>
    <w:rsid w:val="00103551"/>
    <w:rsid w:val="0010404A"/>
    <w:rsid w:val="00104615"/>
    <w:rsid w:val="001050DC"/>
    <w:rsid w:val="00105ABF"/>
    <w:rsid w:val="001069E4"/>
    <w:rsid w:val="00110571"/>
    <w:rsid w:val="001105EC"/>
    <w:rsid w:val="00110B17"/>
    <w:rsid w:val="00110F1F"/>
    <w:rsid w:val="00111122"/>
    <w:rsid w:val="001156C2"/>
    <w:rsid w:val="00115CD5"/>
    <w:rsid w:val="00116860"/>
    <w:rsid w:val="001175B0"/>
    <w:rsid w:val="00117D19"/>
    <w:rsid w:val="001201ED"/>
    <w:rsid w:val="0012109C"/>
    <w:rsid w:val="001219D1"/>
    <w:rsid w:val="001222EA"/>
    <w:rsid w:val="00122C94"/>
    <w:rsid w:val="001231AB"/>
    <w:rsid w:val="001237EC"/>
    <w:rsid w:val="00125036"/>
    <w:rsid w:val="00127452"/>
    <w:rsid w:val="00127807"/>
    <w:rsid w:val="00130915"/>
    <w:rsid w:val="00130E3A"/>
    <w:rsid w:val="001327E2"/>
    <w:rsid w:val="00134196"/>
    <w:rsid w:val="0013435F"/>
    <w:rsid w:val="00136574"/>
    <w:rsid w:val="00136F12"/>
    <w:rsid w:val="0013795B"/>
    <w:rsid w:val="00137F38"/>
    <w:rsid w:val="001406EF"/>
    <w:rsid w:val="001408E0"/>
    <w:rsid w:val="00142794"/>
    <w:rsid w:val="001470F2"/>
    <w:rsid w:val="001508B6"/>
    <w:rsid w:val="00154D4C"/>
    <w:rsid w:val="00155CDC"/>
    <w:rsid w:val="00156EC9"/>
    <w:rsid w:val="001601EB"/>
    <w:rsid w:val="00161F0F"/>
    <w:rsid w:val="0016311A"/>
    <w:rsid w:val="00164102"/>
    <w:rsid w:val="00164313"/>
    <w:rsid w:val="00164C6B"/>
    <w:rsid w:val="001665C4"/>
    <w:rsid w:val="00166DDD"/>
    <w:rsid w:val="001702A6"/>
    <w:rsid w:val="001723A9"/>
    <w:rsid w:val="001723CA"/>
    <w:rsid w:val="001741CD"/>
    <w:rsid w:val="00175324"/>
    <w:rsid w:val="00177844"/>
    <w:rsid w:val="00180358"/>
    <w:rsid w:val="00180B66"/>
    <w:rsid w:val="00185E36"/>
    <w:rsid w:val="00185FA3"/>
    <w:rsid w:val="0018660D"/>
    <w:rsid w:val="001869A1"/>
    <w:rsid w:val="00186A73"/>
    <w:rsid w:val="001878D7"/>
    <w:rsid w:val="00190144"/>
    <w:rsid w:val="00194EE9"/>
    <w:rsid w:val="00196483"/>
    <w:rsid w:val="00196F4F"/>
    <w:rsid w:val="00197AEA"/>
    <w:rsid w:val="001A0964"/>
    <w:rsid w:val="001A2A50"/>
    <w:rsid w:val="001A3264"/>
    <w:rsid w:val="001A32A7"/>
    <w:rsid w:val="001A3FAB"/>
    <w:rsid w:val="001A4263"/>
    <w:rsid w:val="001A48A5"/>
    <w:rsid w:val="001A7B56"/>
    <w:rsid w:val="001B06A6"/>
    <w:rsid w:val="001B211D"/>
    <w:rsid w:val="001B3CDC"/>
    <w:rsid w:val="001B4881"/>
    <w:rsid w:val="001B66A7"/>
    <w:rsid w:val="001B7653"/>
    <w:rsid w:val="001B7E59"/>
    <w:rsid w:val="001C0611"/>
    <w:rsid w:val="001C0C45"/>
    <w:rsid w:val="001C1A52"/>
    <w:rsid w:val="001C1CA6"/>
    <w:rsid w:val="001C2F81"/>
    <w:rsid w:val="001C3A0F"/>
    <w:rsid w:val="001C44D7"/>
    <w:rsid w:val="001C456B"/>
    <w:rsid w:val="001C533F"/>
    <w:rsid w:val="001C5A32"/>
    <w:rsid w:val="001C66AD"/>
    <w:rsid w:val="001C77FF"/>
    <w:rsid w:val="001D012D"/>
    <w:rsid w:val="001D150E"/>
    <w:rsid w:val="001D2264"/>
    <w:rsid w:val="001D2506"/>
    <w:rsid w:val="001D677A"/>
    <w:rsid w:val="001D6F02"/>
    <w:rsid w:val="001D769B"/>
    <w:rsid w:val="001E0777"/>
    <w:rsid w:val="001E1CEE"/>
    <w:rsid w:val="001E1E80"/>
    <w:rsid w:val="001E2100"/>
    <w:rsid w:val="001E210D"/>
    <w:rsid w:val="001E33F9"/>
    <w:rsid w:val="001E3F07"/>
    <w:rsid w:val="001E6017"/>
    <w:rsid w:val="001E7EAE"/>
    <w:rsid w:val="001E7EB7"/>
    <w:rsid w:val="001F1042"/>
    <w:rsid w:val="001F1086"/>
    <w:rsid w:val="001F1D26"/>
    <w:rsid w:val="001F42C9"/>
    <w:rsid w:val="001F45C6"/>
    <w:rsid w:val="001F46DE"/>
    <w:rsid w:val="001F701A"/>
    <w:rsid w:val="00200428"/>
    <w:rsid w:val="002005B6"/>
    <w:rsid w:val="002016B8"/>
    <w:rsid w:val="002025F4"/>
    <w:rsid w:val="002029C3"/>
    <w:rsid w:val="00203466"/>
    <w:rsid w:val="00203BEC"/>
    <w:rsid w:val="00205BF9"/>
    <w:rsid w:val="00205FF9"/>
    <w:rsid w:val="00206B8D"/>
    <w:rsid w:val="002107BB"/>
    <w:rsid w:val="00211758"/>
    <w:rsid w:val="00211A1B"/>
    <w:rsid w:val="002120CB"/>
    <w:rsid w:val="00213CB8"/>
    <w:rsid w:val="00214EFF"/>
    <w:rsid w:val="002151F4"/>
    <w:rsid w:val="00216619"/>
    <w:rsid w:val="00216AC4"/>
    <w:rsid w:val="0021722C"/>
    <w:rsid w:val="002173EC"/>
    <w:rsid w:val="00221A61"/>
    <w:rsid w:val="00221F0D"/>
    <w:rsid w:val="00223377"/>
    <w:rsid w:val="00223B1C"/>
    <w:rsid w:val="002242D2"/>
    <w:rsid w:val="00224EE4"/>
    <w:rsid w:val="00225174"/>
    <w:rsid w:val="002256AA"/>
    <w:rsid w:val="00227930"/>
    <w:rsid w:val="00231491"/>
    <w:rsid w:val="00231D15"/>
    <w:rsid w:val="0023266C"/>
    <w:rsid w:val="00233F78"/>
    <w:rsid w:val="002343F4"/>
    <w:rsid w:val="00235FA6"/>
    <w:rsid w:val="00237327"/>
    <w:rsid w:val="00237810"/>
    <w:rsid w:val="00240960"/>
    <w:rsid w:val="002411BE"/>
    <w:rsid w:val="002437B7"/>
    <w:rsid w:val="00244D32"/>
    <w:rsid w:val="00244E73"/>
    <w:rsid w:val="00246024"/>
    <w:rsid w:val="002466E1"/>
    <w:rsid w:val="00247A7A"/>
    <w:rsid w:val="0025330B"/>
    <w:rsid w:val="00253357"/>
    <w:rsid w:val="00256DA6"/>
    <w:rsid w:val="00261A2B"/>
    <w:rsid w:val="00262C71"/>
    <w:rsid w:val="00263471"/>
    <w:rsid w:val="00263F13"/>
    <w:rsid w:val="00265637"/>
    <w:rsid w:val="00266226"/>
    <w:rsid w:val="00266467"/>
    <w:rsid w:val="002707D3"/>
    <w:rsid w:val="00270B83"/>
    <w:rsid w:val="00271D3F"/>
    <w:rsid w:val="0027442B"/>
    <w:rsid w:val="00274A4F"/>
    <w:rsid w:val="00275D39"/>
    <w:rsid w:val="00276241"/>
    <w:rsid w:val="002763C9"/>
    <w:rsid w:val="002826F5"/>
    <w:rsid w:val="00282E51"/>
    <w:rsid w:val="00283F0E"/>
    <w:rsid w:val="0028515A"/>
    <w:rsid w:val="0028638C"/>
    <w:rsid w:val="002876C2"/>
    <w:rsid w:val="00292C85"/>
    <w:rsid w:val="00294DC7"/>
    <w:rsid w:val="00295386"/>
    <w:rsid w:val="002957E1"/>
    <w:rsid w:val="00295861"/>
    <w:rsid w:val="00296FC2"/>
    <w:rsid w:val="002975A6"/>
    <w:rsid w:val="00297E11"/>
    <w:rsid w:val="002A0EBA"/>
    <w:rsid w:val="002A13CA"/>
    <w:rsid w:val="002A2CCE"/>
    <w:rsid w:val="002A72E2"/>
    <w:rsid w:val="002A7950"/>
    <w:rsid w:val="002B0887"/>
    <w:rsid w:val="002B0C3A"/>
    <w:rsid w:val="002B144D"/>
    <w:rsid w:val="002B2D12"/>
    <w:rsid w:val="002B2E2D"/>
    <w:rsid w:val="002B3D8E"/>
    <w:rsid w:val="002B4022"/>
    <w:rsid w:val="002B5E57"/>
    <w:rsid w:val="002C0B9E"/>
    <w:rsid w:val="002C18CB"/>
    <w:rsid w:val="002C387D"/>
    <w:rsid w:val="002C51E3"/>
    <w:rsid w:val="002C6881"/>
    <w:rsid w:val="002C724F"/>
    <w:rsid w:val="002C7E5D"/>
    <w:rsid w:val="002C7E5F"/>
    <w:rsid w:val="002C7F10"/>
    <w:rsid w:val="002D013B"/>
    <w:rsid w:val="002D1678"/>
    <w:rsid w:val="002D19A7"/>
    <w:rsid w:val="002D1DE9"/>
    <w:rsid w:val="002D2E2F"/>
    <w:rsid w:val="002D3A8F"/>
    <w:rsid w:val="002D4D09"/>
    <w:rsid w:val="002D6815"/>
    <w:rsid w:val="002D76DA"/>
    <w:rsid w:val="002D7B70"/>
    <w:rsid w:val="002E3399"/>
    <w:rsid w:val="002E4426"/>
    <w:rsid w:val="002E4723"/>
    <w:rsid w:val="002E52FF"/>
    <w:rsid w:val="002E5A48"/>
    <w:rsid w:val="002E5D9A"/>
    <w:rsid w:val="002E751C"/>
    <w:rsid w:val="002E7676"/>
    <w:rsid w:val="002E796E"/>
    <w:rsid w:val="002E7BF0"/>
    <w:rsid w:val="002F0BB0"/>
    <w:rsid w:val="002F2A14"/>
    <w:rsid w:val="002F3F4F"/>
    <w:rsid w:val="002F5FFD"/>
    <w:rsid w:val="002F7BD2"/>
    <w:rsid w:val="002F7D74"/>
    <w:rsid w:val="00300B49"/>
    <w:rsid w:val="00303752"/>
    <w:rsid w:val="003039FC"/>
    <w:rsid w:val="003048B3"/>
    <w:rsid w:val="00305D0D"/>
    <w:rsid w:val="00307041"/>
    <w:rsid w:val="003078B4"/>
    <w:rsid w:val="00310FEF"/>
    <w:rsid w:val="0031435E"/>
    <w:rsid w:val="003150BC"/>
    <w:rsid w:val="00315978"/>
    <w:rsid w:val="00315FB6"/>
    <w:rsid w:val="003173E0"/>
    <w:rsid w:val="003176C0"/>
    <w:rsid w:val="00317B9E"/>
    <w:rsid w:val="003219F3"/>
    <w:rsid w:val="00322C7E"/>
    <w:rsid w:val="00323639"/>
    <w:rsid w:val="00325287"/>
    <w:rsid w:val="003274C7"/>
    <w:rsid w:val="00330C26"/>
    <w:rsid w:val="00330EC9"/>
    <w:rsid w:val="00330FD2"/>
    <w:rsid w:val="00332162"/>
    <w:rsid w:val="003325E9"/>
    <w:rsid w:val="00332C4B"/>
    <w:rsid w:val="00334179"/>
    <w:rsid w:val="00334A99"/>
    <w:rsid w:val="00337013"/>
    <w:rsid w:val="00337C0E"/>
    <w:rsid w:val="00342904"/>
    <w:rsid w:val="0034553F"/>
    <w:rsid w:val="00345716"/>
    <w:rsid w:val="00347043"/>
    <w:rsid w:val="00347222"/>
    <w:rsid w:val="003472FA"/>
    <w:rsid w:val="00350F0B"/>
    <w:rsid w:val="00352428"/>
    <w:rsid w:val="00352785"/>
    <w:rsid w:val="00353172"/>
    <w:rsid w:val="00353833"/>
    <w:rsid w:val="003539EC"/>
    <w:rsid w:val="003554E3"/>
    <w:rsid w:val="003571CC"/>
    <w:rsid w:val="00357585"/>
    <w:rsid w:val="0036024F"/>
    <w:rsid w:val="003602C8"/>
    <w:rsid w:val="003620DA"/>
    <w:rsid w:val="00363759"/>
    <w:rsid w:val="00364D9E"/>
    <w:rsid w:val="003656F8"/>
    <w:rsid w:val="00365924"/>
    <w:rsid w:val="00367DC3"/>
    <w:rsid w:val="00367DE6"/>
    <w:rsid w:val="00370725"/>
    <w:rsid w:val="00372D99"/>
    <w:rsid w:val="0037446F"/>
    <w:rsid w:val="0037532D"/>
    <w:rsid w:val="003756E9"/>
    <w:rsid w:val="00376CDF"/>
    <w:rsid w:val="00376DD5"/>
    <w:rsid w:val="00377B76"/>
    <w:rsid w:val="0038224F"/>
    <w:rsid w:val="003823BF"/>
    <w:rsid w:val="003826D2"/>
    <w:rsid w:val="00382E94"/>
    <w:rsid w:val="003853C9"/>
    <w:rsid w:val="00386280"/>
    <w:rsid w:val="003868DB"/>
    <w:rsid w:val="00386B0A"/>
    <w:rsid w:val="003871E1"/>
    <w:rsid w:val="003872CF"/>
    <w:rsid w:val="003900E9"/>
    <w:rsid w:val="003900EC"/>
    <w:rsid w:val="003906AA"/>
    <w:rsid w:val="00390E86"/>
    <w:rsid w:val="00391054"/>
    <w:rsid w:val="00391949"/>
    <w:rsid w:val="00392BBA"/>
    <w:rsid w:val="00392C64"/>
    <w:rsid w:val="00393D82"/>
    <w:rsid w:val="00394A66"/>
    <w:rsid w:val="003950AD"/>
    <w:rsid w:val="003950CC"/>
    <w:rsid w:val="003951B3"/>
    <w:rsid w:val="003959D5"/>
    <w:rsid w:val="003A1A7D"/>
    <w:rsid w:val="003A2191"/>
    <w:rsid w:val="003A3452"/>
    <w:rsid w:val="003A3A5C"/>
    <w:rsid w:val="003A3F0E"/>
    <w:rsid w:val="003A4496"/>
    <w:rsid w:val="003A4DB3"/>
    <w:rsid w:val="003A6FA5"/>
    <w:rsid w:val="003A74E1"/>
    <w:rsid w:val="003A79E0"/>
    <w:rsid w:val="003A7C06"/>
    <w:rsid w:val="003B113E"/>
    <w:rsid w:val="003B1E9F"/>
    <w:rsid w:val="003B24D7"/>
    <w:rsid w:val="003B2627"/>
    <w:rsid w:val="003B2DDD"/>
    <w:rsid w:val="003B3F0D"/>
    <w:rsid w:val="003B4BE1"/>
    <w:rsid w:val="003B50D4"/>
    <w:rsid w:val="003B7564"/>
    <w:rsid w:val="003B7BAD"/>
    <w:rsid w:val="003C0CE3"/>
    <w:rsid w:val="003C0F57"/>
    <w:rsid w:val="003C16B5"/>
    <w:rsid w:val="003C3556"/>
    <w:rsid w:val="003C746B"/>
    <w:rsid w:val="003D043B"/>
    <w:rsid w:val="003D2242"/>
    <w:rsid w:val="003D35F3"/>
    <w:rsid w:val="003D3D5D"/>
    <w:rsid w:val="003D3FA4"/>
    <w:rsid w:val="003D478A"/>
    <w:rsid w:val="003D4CA3"/>
    <w:rsid w:val="003D6941"/>
    <w:rsid w:val="003D7790"/>
    <w:rsid w:val="003E0C44"/>
    <w:rsid w:val="003E1A1E"/>
    <w:rsid w:val="003E1AC4"/>
    <w:rsid w:val="003E278C"/>
    <w:rsid w:val="003E3538"/>
    <w:rsid w:val="003E69BB"/>
    <w:rsid w:val="003E7857"/>
    <w:rsid w:val="003F08E5"/>
    <w:rsid w:val="003F14E6"/>
    <w:rsid w:val="003F1956"/>
    <w:rsid w:val="003F47DD"/>
    <w:rsid w:val="003F5905"/>
    <w:rsid w:val="003F6087"/>
    <w:rsid w:val="003F67F1"/>
    <w:rsid w:val="00401614"/>
    <w:rsid w:val="00401761"/>
    <w:rsid w:val="00401990"/>
    <w:rsid w:val="0040292C"/>
    <w:rsid w:val="00404B9F"/>
    <w:rsid w:val="004058FB"/>
    <w:rsid w:val="00406142"/>
    <w:rsid w:val="00410202"/>
    <w:rsid w:val="0041064B"/>
    <w:rsid w:val="00410CCE"/>
    <w:rsid w:val="00414C3C"/>
    <w:rsid w:val="004155CE"/>
    <w:rsid w:val="00416ACF"/>
    <w:rsid w:val="00422802"/>
    <w:rsid w:val="00423D12"/>
    <w:rsid w:val="00423E6E"/>
    <w:rsid w:val="004250CF"/>
    <w:rsid w:val="00427CEA"/>
    <w:rsid w:val="0043053A"/>
    <w:rsid w:val="00430784"/>
    <w:rsid w:val="0043186E"/>
    <w:rsid w:val="004319CA"/>
    <w:rsid w:val="00431A29"/>
    <w:rsid w:val="00435A6A"/>
    <w:rsid w:val="00436367"/>
    <w:rsid w:val="00437EE2"/>
    <w:rsid w:val="00437F6E"/>
    <w:rsid w:val="00440DBC"/>
    <w:rsid w:val="00440F04"/>
    <w:rsid w:val="004415BA"/>
    <w:rsid w:val="00442083"/>
    <w:rsid w:val="004420FC"/>
    <w:rsid w:val="0044269E"/>
    <w:rsid w:val="00442F95"/>
    <w:rsid w:val="004430A4"/>
    <w:rsid w:val="00443578"/>
    <w:rsid w:val="0044545F"/>
    <w:rsid w:val="00446112"/>
    <w:rsid w:val="004501AE"/>
    <w:rsid w:val="004508F6"/>
    <w:rsid w:val="00451863"/>
    <w:rsid w:val="0045256E"/>
    <w:rsid w:val="00453233"/>
    <w:rsid w:val="00454E36"/>
    <w:rsid w:val="004553DA"/>
    <w:rsid w:val="00455627"/>
    <w:rsid w:val="00456204"/>
    <w:rsid w:val="004607BD"/>
    <w:rsid w:val="00460B96"/>
    <w:rsid w:val="00461496"/>
    <w:rsid w:val="00461F65"/>
    <w:rsid w:val="00464E84"/>
    <w:rsid w:val="00465575"/>
    <w:rsid w:val="00465EC6"/>
    <w:rsid w:val="004665E2"/>
    <w:rsid w:val="00470734"/>
    <w:rsid w:val="0047261F"/>
    <w:rsid w:val="004729B0"/>
    <w:rsid w:val="00474323"/>
    <w:rsid w:val="0047551C"/>
    <w:rsid w:val="0047641B"/>
    <w:rsid w:val="00480713"/>
    <w:rsid w:val="00483FF6"/>
    <w:rsid w:val="00486208"/>
    <w:rsid w:val="00487142"/>
    <w:rsid w:val="00487A71"/>
    <w:rsid w:val="004924D0"/>
    <w:rsid w:val="004928A5"/>
    <w:rsid w:val="00492B42"/>
    <w:rsid w:val="00493009"/>
    <w:rsid w:val="00493318"/>
    <w:rsid w:val="00493ACD"/>
    <w:rsid w:val="004945F8"/>
    <w:rsid w:val="00495A3C"/>
    <w:rsid w:val="00495F7E"/>
    <w:rsid w:val="00496614"/>
    <w:rsid w:val="004977A2"/>
    <w:rsid w:val="004979B4"/>
    <w:rsid w:val="004A0320"/>
    <w:rsid w:val="004A41E0"/>
    <w:rsid w:val="004A6C83"/>
    <w:rsid w:val="004B01F8"/>
    <w:rsid w:val="004B027F"/>
    <w:rsid w:val="004B35F8"/>
    <w:rsid w:val="004B3DF0"/>
    <w:rsid w:val="004B46AE"/>
    <w:rsid w:val="004B497D"/>
    <w:rsid w:val="004B5AA8"/>
    <w:rsid w:val="004B7E91"/>
    <w:rsid w:val="004C00BD"/>
    <w:rsid w:val="004C0DE2"/>
    <w:rsid w:val="004C0E31"/>
    <w:rsid w:val="004C1746"/>
    <w:rsid w:val="004C203C"/>
    <w:rsid w:val="004C2B2B"/>
    <w:rsid w:val="004C30F0"/>
    <w:rsid w:val="004C516A"/>
    <w:rsid w:val="004C63FC"/>
    <w:rsid w:val="004D390C"/>
    <w:rsid w:val="004D5660"/>
    <w:rsid w:val="004D60FE"/>
    <w:rsid w:val="004D6D27"/>
    <w:rsid w:val="004E0210"/>
    <w:rsid w:val="004E23E4"/>
    <w:rsid w:val="004E4258"/>
    <w:rsid w:val="004E4524"/>
    <w:rsid w:val="004E5507"/>
    <w:rsid w:val="004E6BAD"/>
    <w:rsid w:val="004E7357"/>
    <w:rsid w:val="004F09FF"/>
    <w:rsid w:val="004F1700"/>
    <w:rsid w:val="004F2154"/>
    <w:rsid w:val="004F2AA3"/>
    <w:rsid w:val="004F2CC5"/>
    <w:rsid w:val="004F2DAE"/>
    <w:rsid w:val="004F3A7A"/>
    <w:rsid w:val="004F4280"/>
    <w:rsid w:val="004F4657"/>
    <w:rsid w:val="004F497E"/>
    <w:rsid w:val="00500435"/>
    <w:rsid w:val="00500B08"/>
    <w:rsid w:val="005011C9"/>
    <w:rsid w:val="00501A1E"/>
    <w:rsid w:val="00501D5B"/>
    <w:rsid w:val="005021AA"/>
    <w:rsid w:val="005021BB"/>
    <w:rsid w:val="00502858"/>
    <w:rsid w:val="00502F62"/>
    <w:rsid w:val="00504D11"/>
    <w:rsid w:val="00504D29"/>
    <w:rsid w:val="00504E6B"/>
    <w:rsid w:val="005058ED"/>
    <w:rsid w:val="00506C80"/>
    <w:rsid w:val="00507ED3"/>
    <w:rsid w:val="00510C3E"/>
    <w:rsid w:val="00510D91"/>
    <w:rsid w:val="00512633"/>
    <w:rsid w:val="00514221"/>
    <w:rsid w:val="005174EE"/>
    <w:rsid w:val="00517A65"/>
    <w:rsid w:val="0052110C"/>
    <w:rsid w:val="00521114"/>
    <w:rsid w:val="00522549"/>
    <w:rsid w:val="005232A9"/>
    <w:rsid w:val="005233C2"/>
    <w:rsid w:val="00524A0E"/>
    <w:rsid w:val="005254C9"/>
    <w:rsid w:val="005256A3"/>
    <w:rsid w:val="005258B2"/>
    <w:rsid w:val="00526517"/>
    <w:rsid w:val="00531224"/>
    <w:rsid w:val="00531941"/>
    <w:rsid w:val="005320CF"/>
    <w:rsid w:val="005348B6"/>
    <w:rsid w:val="005351A6"/>
    <w:rsid w:val="0053523C"/>
    <w:rsid w:val="00537630"/>
    <w:rsid w:val="005404D1"/>
    <w:rsid w:val="00540B76"/>
    <w:rsid w:val="00541CC6"/>
    <w:rsid w:val="00542971"/>
    <w:rsid w:val="00544CF9"/>
    <w:rsid w:val="0054502D"/>
    <w:rsid w:val="00545666"/>
    <w:rsid w:val="005461CE"/>
    <w:rsid w:val="00546810"/>
    <w:rsid w:val="00547467"/>
    <w:rsid w:val="00550189"/>
    <w:rsid w:val="0055108D"/>
    <w:rsid w:val="00551385"/>
    <w:rsid w:val="00551B17"/>
    <w:rsid w:val="00553B28"/>
    <w:rsid w:val="0055601E"/>
    <w:rsid w:val="005574BF"/>
    <w:rsid w:val="00557865"/>
    <w:rsid w:val="00557A00"/>
    <w:rsid w:val="00560403"/>
    <w:rsid w:val="00560791"/>
    <w:rsid w:val="00560900"/>
    <w:rsid w:val="00560932"/>
    <w:rsid w:val="0056217B"/>
    <w:rsid w:val="00562CBE"/>
    <w:rsid w:val="00562D00"/>
    <w:rsid w:val="00564E63"/>
    <w:rsid w:val="00567D26"/>
    <w:rsid w:val="00571021"/>
    <w:rsid w:val="005716E8"/>
    <w:rsid w:val="0057233D"/>
    <w:rsid w:val="0057253D"/>
    <w:rsid w:val="00572D87"/>
    <w:rsid w:val="005737B1"/>
    <w:rsid w:val="00573825"/>
    <w:rsid w:val="00573C0D"/>
    <w:rsid w:val="005752DC"/>
    <w:rsid w:val="00575C5D"/>
    <w:rsid w:val="00580463"/>
    <w:rsid w:val="005841FE"/>
    <w:rsid w:val="0058476D"/>
    <w:rsid w:val="005924C0"/>
    <w:rsid w:val="00596ABD"/>
    <w:rsid w:val="00596EEF"/>
    <w:rsid w:val="005A0BBC"/>
    <w:rsid w:val="005A1186"/>
    <w:rsid w:val="005A1352"/>
    <w:rsid w:val="005A278D"/>
    <w:rsid w:val="005A3611"/>
    <w:rsid w:val="005A7E69"/>
    <w:rsid w:val="005B0989"/>
    <w:rsid w:val="005B0A13"/>
    <w:rsid w:val="005B0D4A"/>
    <w:rsid w:val="005B172B"/>
    <w:rsid w:val="005B2C6D"/>
    <w:rsid w:val="005B39CC"/>
    <w:rsid w:val="005B6FBE"/>
    <w:rsid w:val="005B758D"/>
    <w:rsid w:val="005B772D"/>
    <w:rsid w:val="005B7EB5"/>
    <w:rsid w:val="005C23C5"/>
    <w:rsid w:val="005C3158"/>
    <w:rsid w:val="005C4403"/>
    <w:rsid w:val="005D23D9"/>
    <w:rsid w:val="005D3C3B"/>
    <w:rsid w:val="005D43A6"/>
    <w:rsid w:val="005D4BBE"/>
    <w:rsid w:val="005D5105"/>
    <w:rsid w:val="005D6730"/>
    <w:rsid w:val="005D6A03"/>
    <w:rsid w:val="005D6A4C"/>
    <w:rsid w:val="005D6DA0"/>
    <w:rsid w:val="005D70F8"/>
    <w:rsid w:val="005D7109"/>
    <w:rsid w:val="005E0AC3"/>
    <w:rsid w:val="005E5128"/>
    <w:rsid w:val="005E5625"/>
    <w:rsid w:val="005E5FF5"/>
    <w:rsid w:val="005E7703"/>
    <w:rsid w:val="005E7A33"/>
    <w:rsid w:val="005F3436"/>
    <w:rsid w:val="005F55AB"/>
    <w:rsid w:val="005F6495"/>
    <w:rsid w:val="005F77A2"/>
    <w:rsid w:val="005F7E88"/>
    <w:rsid w:val="00602E37"/>
    <w:rsid w:val="00602FF4"/>
    <w:rsid w:val="0060492A"/>
    <w:rsid w:val="00605315"/>
    <w:rsid w:val="0060615A"/>
    <w:rsid w:val="0060784E"/>
    <w:rsid w:val="006078AC"/>
    <w:rsid w:val="00607E3D"/>
    <w:rsid w:val="006100FE"/>
    <w:rsid w:val="00610B23"/>
    <w:rsid w:val="00612703"/>
    <w:rsid w:val="00615E92"/>
    <w:rsid w:val="00617281"/>
    <w:rsid w:val="006176EC"/>
    <w:rsid w:val="00621BAF"/>
    <w:rsid w:val="00622335"/>
    <w:rsid w:val="00623CEC"/>
    <w:rsid w:val="006249C0"/>
    <w:rsid w:val="00624B3A"/>
    <w:rsid w:val="00625DF1"/>
    <w:rsid w:val="0062723B"/>
    <w:rsid w:val="00627C80"/>
    <w:rsid w:val="0063115C"/>
    <w:rsid w:val="006314C8"/>
    <w:rsid w:val="0063222C"/>
    <w:rsid w:val="00632AFC"/>
    <w:rsid w:val="00633085"/>
    <w:rsid w:val="00633F6B"/>
    <w:rsid w:val="006350C6"/>
    <w:rsid w:val="00636A19"/>
    <w:rsid w:val="00640002"/>
    <w:rsid w:val="00640C4F"/>
    <w:rsid w:val="006432DE"/>
    <w:rsid w:val="006435BD"/>
    <w:rsid w:val="00646825"/>
    <w:rsid w:val="00646CE1"/>
    <w:rsid w:val="0064755B"/>
    <w:rsid w:val="00650F93"/>
    <w:rsid w:val="00654EC3"/>
    <w:rsid w:val="0065633C"/>
    <w:rsid w:val="006576FD"/>
    <w:rsid w:val="006611DE"/>
    <w:rsid w:val="0066213E"/>
    <w:rsid w:val="006629C6"/>
    <w:rsid w:val="006630FB"/>
    <w:rsid w:val="00664633"/>
    <w:rsid w:val="00665E24"/>
    <w:rsid w:val="006663EF"/>
    <w:rsid w:val="006702D2"/>
    <w:rsid w:val="00672F57"/>
    <w:rsid w:val="006731CD"/>
    <w:rsid w:val="006735F5"/>
    <w:rsid w:val="00673FBA"/>
    <w:rsid w:val="0067467B"/>
    <w:rsid w:val="006821FD"/>
    <w:rsid w:val="006825BE"/>
    <w:rsid w:val="0068325A"/>
    <w:rsid w:val="00683B02"/>
    <w:rsid w:val="0068673F"/>
    <w:rsid w:val="0068680E"/>
    <w:rsid w:val="00692474"/>
    <w:rsid w:val="00693E0B"/>
    <w:rsid w:val="00693FFE"/>
    <w:rsid w:val="00694164"/>
    <w:rsid w:val="006942A2"/>
    <w:rsid w:val="006942BE"/>
    <w:rsid w:val="006946A1"/>
    <w:rsid w:val="006949D4"/>
    <w:rsid w:val="00695D3A"/>
    <w:rsid w:val="00697D22"/>
    <w:rsid w:val="006A0E4B"/>
    <w:rsid w:val="006A2229"/>
    <w:rsid w:val="006A29BD"/>
    <w:rsid w:val="006A2F87"/>
    <w:rsid w:val="006A3CB3"/>
    <w:rsid w:val="006A3F4B"/>
    <w:rsid w:val="006A4B95"/>
    <w:rsid w:val="006B0D89"/>
    <w:rsid w:val="006B12BF"/>
    <w:rsid w:val="006B199A"/>
    <w:rsid w:val="006B2C5F"/>
    <w:rsid w:val="006B2D33"/>
    <w:rsid w:val="006B507A"/>
    <w:rsid w:val="006B6C47"/>
    <w:rsid w:val="006C0983"/>
    <w:rsid w:val="006C0EF1"/>
    <w:rsid w:val="006C2624"/>
    <w:rsid w:val="006C2673"/>
    <w:rsid w:val="006C368A"/>
    <w:rsid w:val="006C496F"/>
    <w:rsid w:val="006C49CF"/>
    <w:rsid w:val="006C4CEB"/>
    <w:rsid w:val="006C5232"/>
    <w:rsid w:val="006C53DA"/>
    <w:rsid w:val="006C54E0"/>
    <w:rsid w:val="006C55CA"/>
    <w:rsid w:val="006C5C7A"/>
    <w:rsid w:val="006C613D"/>
    <w:rsid w:val="006C64C3"/>
    <w:rsid w:val="006C64E5"/>
    <w:rsid w:val="006C722B"/>
    <w:rsid w:val="006C7CEC"/>
    <w:rsid w:val="006D07E8"/>
    <w:rsid w:val="006D15FA"/>
    <w:rsid w:val="006D190A"/>
    <w:rsid w:val="006D2867"/>
    <w:rsid w:val="006D439B"/>
    <w:rsid w:val="006D45FB"/>
    <w:rsid w:val="006D468E"/>
    <w:rsid w:val="006D5323"/>
    <w:rsid w:val="006D7029"/>
    <w:rsid w:val="006D7563"/>
    <w:rsid w:val="006E0042"/>
    <w:rsid w:val="006E0DBB"/>
    <w:rsid w:val="006E0E7C"/>
    <w:rsid w:val="006E16F4"/>
    <w:rsid w:val="006E19E5"/>
    <w:rsid w:val="006E1A21"/>
    <w:rsid w:val="006E1AD0"/>
    <w:rsid w:val="006E2AEB"/>
    <w:rsid w:val="006E4C5F"/>
    <w:rsid w:val="006E5791"/>
    <w:rsid w:val="006E6718"/>
    <w:rsid w:val="006E68C9"/>
    <w:rsid w:val="006F23E9"/>
    <w:rsid w:val="006F278C"/>
    <w:rsid w:val="006F3412"/>
    <w:rsid w:val="006F4338"/>
    <w:rsid w:val="006F6A83"/>
    <w:rsid w:val="006F73D5"/>
    <w:rsid w:val="006F748E"/>
    <w:rsid w:val="006F7B7B"/>
    <w:rsid w:val="006F7C54"/>
    <w:rsid w:val="0070010C"/>
    <w:rsid w:val="0070133E"/>
    <w:rsid w:val="00701453"/>
    <w:rsid w:val="00701C59"/>
    <w:rsid w:val="00701D6D"/>
    <w:rsid w:val="00702BE7"/>
    <w:rsid w:val="00703902"/>
    <w:rsid w:val="007078AF"/>
    <w:rsid w:val="00710E70"/>
    <w:rsid w:val="00714510"/>
    <w:rsid w:val="0071549A"/>
    <w:rsid w:val="00715B3B"/>
    <w:rsid w:val="00716658"/>
    <w:rsid w:val="00720D8F"/>
    <w:rsid w:val="00721746"/>
    <w:rsid w:val="00721E96"/>
    <w:rsid w:val="0072360E"/>
    <w:rsid w:val="00725B55"/>
    <w:rsid w:val="007323BF"/>
    <w:rsid w:val="007346FA"/>
    <w:rsid w:val="00735250"/>
    <w:rsid w:val="00736476"/>
    <w:rsid w:val="00736E18"/>
    <w:rsid w:val="00740ECC"/>
    <w:rsid w:val="007410D7"/>
    <w:rsid w:val="00741F0F"/>
    <w:rsid w:val="00743E48"/>
    <w:rsid w:val="00744589"/>
    <w:rsid w:val="0074527D"/>
    <w:rsid w:val="00746320"/>
    <w:rsid w:val="007463D8"/>
    <w:rsid w:val="0074661D"/>
    <w:rsid w:val="00746C20"/>
    <w:rsid w:val="007475F3"/>
    <w:rsid w:val="00747654"/>
    <w:rsid w:val="00751E12"/>
    <w:rsid w:val="00753668"/>
    <w:rsid w:val="0075368E"/>
    <w:rsid w:val="00753E00"/>
    <w:rsid w:val="00755D76"/>
    <w:rsid w:val="00756BF2"/>
    <w:rsid w:val="00757B3F"/>
    <w:rsid w:val="00757F9D"/>
    <w:rsid w:val="00760724"/>
    <w:rsid w:val="00761A6C"/>
    <w:rsid w:val="00761BDD"/>
    <w:rsid w:val="007623D6"/>
    <w:rsid w:val="00763523"/>
    <w:rsid w:val="00763A01"/>
    <w:rsid w:val="00764CDE"/>
    <w:rsid w:val="00764EE8"/>
    <w:rsid w:val="0076618A"/>
    <w:rsid w:val="0076747A"/>
    <w:rsid w:val="00767DB5"/>
    <w:rsid w:val="00767EA1"/>
    <w:rsid w:val="00771B2E"/>
    <w:rsid w:val="00772007"/>
    <w:rsid w:val="00772F0A"/>
    <w:rsid w:val="00774220"/>
    <w:rsid w:val="007754D4"/>
    <w:rsid w:val="0078076D"/>
    <w:rsid w:val="00780A0D"/>
    <w:rsid w:val="00781348"/>
    <w:rsid w:val="00783C20"/>
    <w:rsid w:val="00784F83"/>
    <w:rsid w:val="00786A68"/>
    <w:rsid w:val="00787358"/>
    <w:rsid w:val="007879D7"/>
    <w:rsid w:val="00790443"/>
    <w:rsid w:val="0079287E"/>
    <w:rsid w:val="00794716"/>
    <w:rsid w:val="007962C3"/>
    <w:rsid w:val="0079640D"/>
    <w:rsid w:val="007A05CF"/>
    <w:rsid w:val="007A078C"/>
    <w:rsid w:val="007A0795"/>
    <w:rsid w:val="007A28FD"/>
    <w:rsid w:val="007A31CE"/>
    <w:rsid w:val="007A3B11"/>
    <w:rsid w:val="007A40AE"/>
    <w:rsid w:val="007A4E70"/>
    <w:rsid w:val="007A5974"/>
    <w:rsid w:val="007A6211"/>
    <w:rsid w:val="007A6A07"/>
    <w:rsid w:val="007B0F81"/>
    <w:rsid w:val="007B161A"/>
    <w:rsid w:val="007B1B1A"/>
    <w:rsid w:val="007B1C1C"/>
    <w:rsid w:val="007B25F3"/>
    <w:rsid w:val="007B2735"/>
    <w:rsid w:val="007B4DC2"/>
    <w:rsid w:val="007B4FE6"/>
    <w:rsid w:val="007C56C5"/>
    <w:rsid w:val="007C617F"/>
    <w:rsid w:val="007C691E"/>
    <w:rsid w:val="007C7092"/>
    <w:rsid w:val="007C7EEE"/>
    <w:rsid w:val="007D2B19"/>
    <w:rsid w:val="007D724A"/>
    <w:rsid w:val="007D7771"/>
    <w:rsid w:val="007D7F59"/>
    <w:rsid w:val="007E08B0"/>
    <w:rsid w:val="007E1338"/>
    <w:rsid w:val="007E27E8"/>
    <w:rsid w:val="007E3A88"/>
    <w:rsid w:val="007E4E82"/>
    <w:rsid w:val="007E5883"/>
    <w:rsid w:val="007E5EEA"/>
    <w:rsid w:val="007E716C"/>
    <w:rsid w:val="007E75F4"/>
    <w:rsid w:val="007F08F1"/>
    <w:rsid w:val="007F237A"/>
    <w:rsid w:val="007F59BF"/>
    <w:rsid w:val="007F60FA"/>
    <w:rsid w:val="007F67C0"/>
    <w:rsid w:val="007F6EBD"/>
    <w:rsid w:val="007F75A8"/>
    <w:rsid w:val="007F7EA0"/>
    <w:rsid w:val="00801F29"/>
    <w:rsid w:val="008027F9"/>
    <w:rsid w:val="00802CBD"/>
    <w:rsid w:val="0080354D"/>
    <w:rsid w:val="008040EC"/>
    <w:rsid w:val="008045F1"/>
    <w:rsid w:val="00804999"/>
    <w:rsid w:val="00806420"/>
    <w:rsid w:val="00806D56"/>
    <w:rsid w:val="00810A04"/>
    <w:rsid w:val="00810DB0"/>
    <w:rsid w:val="00811441"/>
    <w:rsid w:val="00812F4D"/>
    <w:rsid w:val="0081306F"/>
    <w:rsid w:val="008134E0"/>
    <w:rsid w:val="008146E4"/>
    <w:rsid w:val="00814DD8"/>
    <w:rsid w:val="008168E9"/>
    <w:rsid w:val="00820426"/>
    <w:rsid w:val="0082069E"/>
    <w:rsid w:val="008215A5"/>
    <w:rsid w:val="00821C68"/>
    <w:rsid w:val="00821DF7"/>
    <w:rsid w:val="0082257B"/>
    <w:rsid w:val="00822631"/>
    <w:rsid w:val="00822BDE"/>
    <w:rsid w:val="00822F83"/>
    <w:rsid w:val="00823255"/>
    <w:rsid w:val="00823B80"/>
    <w:rsid w:val="00830D61"/>
    <w:rsid w:val="008312B4"/>
    <w:rsid w:val="00833710"/>
    <w:rsid w:val="00833B25"/>
    <w:rsid w:val="00833E15"/>
    <w:rsid w:val="0083435A"/>
    <w:rsid w:val="00834905"/>
    <w:rsid w:val="0084234A"/>
    <w:rsid w:val="00842A88"/>
    <w:rsid w:val="00847649"/>
    <w:rsid w:val="008515F7"/>
    <w:rsid w:val="00851EB9"/>
    <w:rsid w:val="0085217C"/>
    <w:rsid w:val="008550C0"/>
    <w:rsid w:val="00855208"/>
    <w:rsid w:val="008563B1"/>
    <w:rsid w:val="00856D98"/>
    <w:rsid w:val="0085736A"/>
    <w:rsid w:val="00857C95"/>
    <w:rsid w:val="00860007"/>
    <w:rsid w:val="00862061"/>
    <w:rsid w:val="008626BE"/>
    <w:rsid w:val="0086314F"/>
    <w:rsid w:val="00864582"/>
    <w:rsid w:val="008650DC"/>
    <w:rsid w:val="00867090"/>
    <w:rsid w:val="00867ABB"/>
    <w:rsid w:val="008707FD"/>
    <w:rsid w:val="0087097E"/>
    <w:rsid w:val="00870C74"/>
    <w:rsid w:val="00871BAA"/>
    <w:rsid w:val="00872074"/>
    <w:rsid w:val="0087335C"/>
    <w:rsid w:val="00873B1D"/>
    <w:rsid w:val="0087563F"/>
    <w:rsid w:val="00876081"/>
    <w:rsid w:val="00880CB9"/>
    <w:rsid w:val="00880EE5"/>
    <w:rsid w:val="00882415"/>
    <w:rsid w:val="00884AF1"/>
    <w:rsid w:val="00884C00"/>
    <w:rsid w:val="00884E87"/>
    <w:rsid w:val="00884FCE"/>
    <w:rsid w:val="008869D4"/>
    <w:rsid w:val="008874D1"/>
    <w:rsid w:val="00890C65"/>
    <w:rsid w:val="00891E4C"/>
    <w:rsid w:val="00891EDC"/>
    <w:rsid w:val="0089386B"/>
    <w:rsid w:val="008940D6"/>
    <w:rsid w:val="00894661"/>
    <w:rsid w:val="00894901"/>
    <w:rsid w:val="0089543A"/>
    <w:rsid w:val="00896F83"/>
    <w:rsid w:val="00897428"/>
    <w:rsid w:val="00897888"/>
    <w:rsid w:val="008A1A56"/>
    <w:rsid w:val="008A1C82"/>
    <w:rsid w:val="008A2DE4"/>
    <w:rsid w:val="008A3189"/>
    <w:rsid w:val="008A4D0C"/>
    <w:rsid w:val="008A4EE1"/>
    <w:rsid w:val="008A5466"/>
    <w:rsid w:val="008A5729"/>
    <w:rsid w:val="008A612D"/>
    <w:rsid w:val="008A6F56"/>
    <w:rsid w:val="008A7805"/>
    <w:rsid w:val="008A7DEF"/>
    <w:rsid w:val="008B09E8"/>
    <w:rsid w:val="008B19E7"/>
    <w:rsid w:val="008B34A7"/>
    <w:rsid w:val="008B496D"/>
    <w:rsid w:val="008B4E53"/>
    <w:rsid w:val="008B56F0"/>
    <w:rsid w:val="008B6D41"/>
    <w:rsid w:val="008B79BF"/>
    <w:rsid w:val="008C0FB6"/>
    <w:rsid w:val="008C10F5"/>
    <w:rsid w:val="008C1945"/>
    <w:rsid w:val="008C556A"/>
    <w:rsid w:val="008C587F"/>
    <w:rsid w:val="008C66E4"/>
    <w:rsid w:val="008D04B6"/>
    <w:rsid w:val="008D1067"/>
    <w:rsid w:val="008D1A0C"/>
    <w:rsid w:val="008D217D"/>
    <w:rsid w:val="008D2D09"/>
    <w:rsid w:val="008D5588"/>
    <w:rsid w:val="008D6A0E"/>
    <w:rsid w:val="008D7182"/>
    <w:rsid w:val="008D782A"/>
    <w:rsid w:val="008E0890"/>
    <w:rsid w:val="008E1201"/>
    <w:rsid w:val="008E30DB"/>
    <w:rsid w:val="008E3DC1"/>
    <w:rsid w:val="008E4470"/>
    <w:rsid w:val="008E6062"/>
    <w:rsid w:val="008E6248"/>
    <w:rsid w:val="008E78B4"/>
    <w:rsid w:val="008F1015"/>
    <w:rsid w:val="008F3045"/>
    <w:rsid w:val="008F3A0B"/>
    <w:rsid w:val="008F46C1"/>
    <w:rsid w:val="008F57A8"/>
    <w:rsid w:val="008F6A8D"/>
    <w:rsid w:val="008F774E"/>
    <w:rsid w:val="008F78C6"/>
    <w:rsid w:val="009012A1"/>
    <w:rsid w:val="009020FA"/>
    <w:rsid w:val="00902638"/>
    <w:rsid w:val="00902E13"/>
    <w:rsid w:val="00903269"/>
    <w:rsid w:val="00903797"/>
    <w:rsid w:val="00903FB6"/>
    <w:rsid w:val="00904FAA"/>
    <w:rsid w:val="00905F14"/>
    <w:rsid w:val="009079D3"/>
    <w:rsid w:val="00910035"/>
    <w:rsid w:val="00910DAF"/>
    <w:rsid w:val="0091150E"/>
    <w:rsid w:val="009179C8"/>
    <w:rsid w:val="00920C8C"/>
    <w:rsid w:val="00922661"/>
    <w:rsid w:val="009279CC"/>
    <w:rsid w:val="009304BC"/>
    <w:rsid w:val="009312B6"/>
    <w:rsid w:val="00932954"/>
    <w:rsid w:val="00932FEE"/>
    <w:rsid w:val="009352CE"/>
    <w:rsid w:val="0093602F"/>
    <w:rsid w:val="009414A5"/>
    <w:rsid w:val="00941B8F"/>
    <w:rsid w:val="00941FB4"/>
    <w:rsid w:val="00942439"/>
    <w:rsid w:val="00944005"/>
    <w:rsid w:val="00946EF0"/>
    <w:rsid w:val="009473B4"/>
    <w:rsid w:val="009502B7"/>
    <w:rsid w:val="00950FCB"/>
    <w:rsid w:val="00951106"/>
    <w:rsid w:val="00952404"/>
    <w:rsid w:val="00954582"/>
    <w:rsid w:val="00954994"/>
    <w:rsid w:val="00955266"/>
    <w:rsid w:val="00956026"/>
    <w:rsid w:val="009616A9"/>
    <w:rsid w:val="00962398"/>
    <w:rsid w:val="009626C2"/>
    <w:rsid w:val="00963143"/>
    <w:rsid w:val="00963AC1"/>
    <w:rsid w:val="009649AE"/>
    <w:rsid w:val="00971812"/>
    <w:rsid w:val="00972121"/>
    <w:rsid w:val="00974393"/>
    <w:rsid w:val="009771AF"/>
    <w:rsid w:val="00977DC3"/>
    <w:rsid w:val="00980F55"/>
    <w:rsid w:val="00981337"/>
    <w:rsid w:val="00984306"/>
    <w:rsid w:val="00987279"/>
    <w:rsid w:val="009901AD"/>
    <w:rsid w:val="00990EC8"/>
    <w:rsid w:val="00991F27"/>
    <w:rsid w:val="0099296A"/>
    <w:rsid w:val="00994303"/>
    <w:rsid w:val="0099490E"/>
    <w:rsid w:val="00995042"/>
    <w:rsid w:val="00995C8A"/>
    <w:rsid w:val="00996264"/>
    <w:rsid w:val="009A1910"/>
    <w:rsid w:val="009A1DE3"/>
    <w:rsid w:val="009A4924"/>
    <w:rsid w:val="009A67BD"/>
    <w:rsid w:val="009A7F92"/>
    <w:rsid w:val="009B1155"/>
    <w:rsid w:val="009B1663"/>
    <w:rsid w:val="009B18B4"/>
    <w:rsid w:val="009B1A4D"/>
    <w:rsid w:val="009B257E"/>
    <w:rsid w:val="009B31E8"/>
    <w:rsid w:val="009B3C49"/>
    <w:rsid w:val="009B3E72"/>
    <w:rsid w:val="009B4722"/>
    <w:rsid w:val="009B5520"/>
    <w:rsid w:val="009B5EC0"/>
    <w:rsid w:val="009B6298"/>
    <w:rsid w:val="009C07ED"/>
    <w:rsid w:val="009C1448"/>
    <w:rsid w:val="009C2871"/>
    <w:rsid w:val="009C3606"/>
    <w:rsid w:val="009C443D"/>
    <w:rsid w:val="009C47B5"/>
    <w:rsid w:val="009C7502"/>
    <w:rsid w:val="009C7946"/>
    <w:rsid w:val="009C7E5D"/>
    <w:rsid w:val="009D00CD"/>
    <w:rsid w:val="009D01CA"/>
    <w:rsid w:val="009D1B12"/>
    <w:rsid w:val="009D209D"/>
    <w:rsid w:val="009D2FBD"/>
    <w:rsid w:val="009D4B68"/>
    <w:rsid w:val="009D4B7A"/>
    <w:rsid w:val="009D62CB"/>
    <w:rsid w:val="009D64AC"/>
    <w:rsid w:val="009D77E1"/>
    <w:rsid w:val="009E1126"/>
    <w:rsid w:val="009E4EA4"/>
    <w:rsid w:val="009E7480"/>
    <w:rsid w:val="009F285E"/>
    <w:rsid w:val="009F322D"/>
    <w:rsid w:val="009F3A94"/>
    <w:rsid w:val="009F3B7B"/>
    <w:rsid w:val="009F3EAD"/>
    <w:rsid w:val="009F4929"/>
    <w:rsid w:val="009F5B5A"/>
    <w:rsid w:val="009F5CD3"/>
    <w:rsid w:val="00A0394A"/>
    <w:rsid w:val="00A061BD"/>
    <w:rsid w:val="00A07EB4"/>
    <w:rsid w:val="00A1064D"/>
    <w:rsid w:val="00A10DE7"/>
    <w:rsid w:val="00A12A18"/>
    <w:rsid w:val="00A13335"/>
    <w:rsid w:val="00A145E5"/>
    <w:rsid w:val="00A15B9C"/>
    <w:rsid w:val="00A16711"/>
    <w:rsid w:val="00A20DDE"/>
    <w:rsid w:val="00A21919"/>
    <w:rsid w:val="00A23401"/>
    <w:rsid w:val="00A238E8"/>
    <w:rsid w:val="00A27646"/>
    <w:rsid w:val="00A27DA9"/>
    <w:rsid w:val="00A30EFF"/>
    <w:rsid w:val="00A31247"/>
    <w:rsid w:val="00A313BF"/>
    <w:rsid w:val="00A32403"/>
    <w:rsid w:val="00A32B70"/>
    <w:rsid w:val="00A32C8B"/>
    <w:rsid w:val="00A33B25"/>
    <w:rsid w:val="00A34719"/>
    <w:rsid w:val="00A36922"/>
    <w:rsid w:val="00A404D9"/>
    <w:rsid w:val="00A405DD"/>
    <w:rsid w:val="00A4162A"/>
    <w:rsid w:val="00A42AD9"/>
    <w:rsid w:val="00A43CF2"/>
    <w:rsid w:val="00A44AC2"/>
    <w:rsid w:val="00A44EB1"/>
    <w:rsid w:val="00A460F7"/>
    <w:rsid w:val="00A47BC6"/>
    <w:rsid w:val="00A47C40"/>
    <w:rsid w:val="00A51407"/>
    <w:rsid w:val="00A51AB5"/>
    <w:rsid w:val="00A532DC"/>
    <w:rsid w:val="00A54939"/>
    <w:rsid w:val="00A54F0A"/>
    <w:rsid w:val="00A55C4A"/>
    <w:rsid w:val="00A56794"/>
    <w:rsid w:val="00A57BFF"/>
    <w:rsid w:val="00A60DAF"/>
    <w:rsid w:val="00A60F35"/>
    <w:rsid w:val="00A628FF"/>
    <w:rsid w:val="00A62B9D"/>
    <w:rsid w:val="00A62BDB"/>
    <w:rsid w:val="00A62BDC"/>
    <w:rsid w:val="00A63AD3"/>
    <w:rsid w:val="00A64165"/>
    <w:rsid w:val="00A641B5"/>
    <w:rsid w:val="00A645B5"/>
    <w:rsid w:val="00A64DA0"/>
    <w:rsid w:val="00A655BF"/>
    <w:rsid w:val="00A65D5F"/>
    <w:rsid w:val="00A65D81"/>
    <w:rsid w:val="00A671EE"/>
    <w:rsid w:val="00A71445"/>
    <w:rsid w:val="00A71602"/>
    <w:rsid w:val="00A71B04"/>
    <w:rsid w:val="00A71B68"/>
    <w:rsid w:val="00A72F6A"/>
    <w:rsid w:val="00A74008"/>
    <w:rsid w:val="00A74023"/>
    <w:rsid w:val="00A7514A"/>
    <w:rsid w:val="00A75303"/>
    <w:rsid w:val="00A75845"/>
    <w:rsid w:val="00A760F7"/>
    <w:rsid w:val="00A76DBC"/>
    <w:rsid w:val="00A81BB4"/>
    <w:rsid w:val="00A83096"/>
    <w:rsid w:val="00A84127"/>
    <w:rsid w:val="00A85EFB"/>
    <w:rsid w:val="00A86A78"/>
    <w:rsid w:val="00A87299"/>
    <w:rsid w:val="00A900EB"/>
    <w:rsid w:val="00A90A8F"/>
    <w:rsid w:val="00A94317"/>
    <w:rsid w:val="00A94F1C"/>
    <w:rsid w:val="00A9784B"/>
    <w:rsid w:val="00AA2330"/>
    <w:rsid w:val="00AA245F"/>
    <w:rsid w:val="00AA2755"/>
    <w:rsid w:val="00AA3240"/>
    <w:rsid w:val="00AA4BC6"/>
    <w:rsid w:val="00AA4CC9"/>
    <w:rsid w:val="00AB1B42"/>
    <w:rsid w:val="00AB3FC4"/>
    <w:rsid w:val="00AB6486"/>
    <w:rsid w:val="00AB6683"/>
    <w:rsid w:val="00AB7341"/>
    <w:rsid w:val="00AB7862"/>
    <w:rsid w:val="00AC013D"/>
    <w:rsid w:val="00AC1C01"/>
    <w:rsid w:val="00AC21CF"/>
    <w:rsid w:val="00AC2D53"/>
    <w:rsid w:val="00AC3DCD"/>
    <w:rsid w:val="00AC4647"/>
    <w:rsid w:val="00AC7CE3"/>
    <w:rsid w:val="00AC7E22"/>
    <w:rsid w:val="00AD074B"/>
    <w:rsid w:val="00AD0F2C"/>
    <w:rsid w:val="00AD2E4C"/>
    <w:rsid w:val="00AD3E02"/>
    <w:rsid w:val="00AD4326"/>
    <w:rsid w:val="00AD5FA1"/>
    <w:rsid w:val="00AD72FC"/>
    <w:rsid w:val="00AE01A3"/>
    <w:rsid w:val="00AE11A8"/>
    <w:rsid w:val="00AE45ED"/>
    <w:rsid w:val="00AF0680"/>
    <w:rsid w:val="00AF0950"/>
    <w:rsid w:val="00AF10A0"/>
    <w:rsid w:val="00AF14A6"/>
    <w:rsid w:val="00AF1CBF"/>
    <w:rsid w:val="00AF2327"/>
    <w:rsid w:val="00AF339A"/>
    <w:rsid w:val="00AF58DB"/>
    <w:rsid w:val="00AF66FD"/>
    <w:rsid w:val="00B019CB"/>
    <w:rsid w:val="00B0215C"/>
    <w:rsid w:val="00B024FF"/>
    <w:rsid w:val="00B05354"/>
    <w:rsid w:val="00B0626E"/>
    <w:rsid w:val="00B07064"/>
    <w:rsid w:val="00B07743"/>
    <w:rsid w:val="00B07FBD"/>
    <w:rsid w:val="00B10AE7"/>
    <w:rsid w:val="00B10F40"/>
    <w:rsid w:val="00B11661"/>
    <w:rsid w:val="00B13585"/>
    <w:rsid w:val="00B13EEF"/>
    <w:rsid w:val="00B14D62"/>
    <w:rsid w:val="00B14DA6"/>
    <w:rsid w:val="00B161D6"/>
    <w:rsid w:val="00B22C13"/>
    <w:rsid w:val="00B237C8"/>
    <w:rsid w:val="00B249EF"/>
    <w:rsid w:val="00B26877"/>
    <w:rsid w:val="00B26B89"/>
    <w:rsid w:val="00B305AA"/>
    <w:rsid w:val="00B30E38"/>
    <w:rsid w:val="00B31E4D"/>
    <w:rsid w:val="00B341CB"/>
    <w:rsid w:val="00B34931"/>
    <w:rsid w:val="00B350F3"/>
    <w:rsid w:val="00B3619B"/>
    <w:rsid w:val="00B3788F"/>
    <w:rsid w:val="00B41379"/>
    <w:rsid w:val="00B45438"/>
    <w:rsid w:val="00B45EC0"/>
    <w:rsid w:val="00B4702A"/>
    <w:rsid w:val="00B47300"/>
    <w:rsid w:val="00B47AEA"/>
    <w:rsid w:val="00B47B18"/>
    <w:rsid w:val="00B50E91"/>
    <w:rsid w:val="00B52292"/>
    <w:rsid w:val="00B5416E"/>
    <w:rsid w:val="00B5417F"/>
    <w:rsid w:val="00B54FCD"/>
    <w:rsid w:val="00B5752B"/>
    <w:rsid w:val="00B60B53"/>
    <w:rsid w:val="00B65CED"/>
    <w:rsid w:val="00B67147"/>
    <w:rsid w:val="00B701C2"/>
    <w:rsid w:val="00B72D5A"/>
    <w:rsid w:val="00B73E80"/>
    <w:rsid w:val="00B740F2"/>
    <w:rsid w:val="00B741D6"/>
    <w:rsid w:val="00B74DC5"/>
    <w:rsid w:val="00B75508"/>
    <w:rsid w:val="00B76825"/>
    <w:rsid w:val="00B76BE9"/>
    <w:rsid w:val="00B80F4F"/>
    <w:rsid w:val="00B81DBC"/>
    <w:rsid w:val="00B82603"/>
    <w:rsid w:val="00B82F75"/>
    <w:rsid w:val="00B84E9A"/>
    <w:rsid w:val="00B85306"/>
    <w:rsid w:val="00B867AB"/>
    <w:rsid w:val="00B86BBB"/>
    <w:rsid w:val="00B90BF6"/>
    <w:rsid w:val="00B9183C"/>
    <w:rsid w:val="00B92393"/>
    <w:rsid w:val="00B955EB"/>
    <w:rsid w:val="00B960FE"/>
    <w:rsid w:val="00B97928"/>
    <w:rsid w:val="00B97B26"/>
    <w:rsid w:val="00BA1562"/>
    <w:rsid w:val="00BA1BB1"/>
    <w:rsid w:val="00BA4399"/>
    <w:rsid w:val="00BA4426"/>
    <w:rsid w:val="00BA4CBE"/>
    <w:rsid w:val="00BA5795"/>
    <w:rsid w:val="00BA7701"/>
    <w:rsid w:val="00BB018D"/>
    <w:rsid w:val="00BB1352"/>
    <w:rsid w:val="00BB17BD"/>
    <w:rsid w:val="00BB2561"/>
    <w:rsid w:val="00BB2EC8"/>
    <w:rsid w:val="00BB3348"/>
    <w:rsid w:val="00BB3BEC"/>
    <w:rsid w:val="00BB482D"/>
    <w:rsid w:val="00BB6053"/>
    <w:rsid w:val="00BC0127"/>
    <w:rsid w:val="00BC091B"/>
    <w:rsid w:val="00BC0CCB"/>
    <w:rsid w:val="00BC1191"/>
    <w:rsid w:val="00BC2A03"/>
    <w:rsid w:val="00BC3ACE"/>
    <w:rsid w:val="00BC5786"/>
    <w:rsid w:val="00BC670D"/>
    <w:rsid w:val="00BC6CEF"/>
    <w:rsid w:val="00BC7608"/>
    <w:rsid w:val="00BD0779"/>
    <w:rsid w:val="00BD07F9"/>
    <w:rsid w:val="00BD0B9D"/>
    <w:rsid w:val="00BD0F0E"/>
    <w:rsid w:val="00BD11DF"/>
    <w:rsid w:val="00BD3D0E"/>
    <w:rsid w:val="00BD3FB9"/>
    <w:rsid w:val="00BD4449"/>
    <w:rsid w:val="00BD4C01"/>
    <w:rsid w:val="00BD7021"/>
    <w:rsid w:val="00BE07C3"/>
    <w:rsid w:val="00BE1716"/>
    <w:rsid w:val="00BE1C0A"/>
    <w:rsid w:val="00BE1F87"/>
    <w:rsid w:val="00BE2EE0"/>
    <w:rsid w:val="00BE65BA"/>
    <w:rsid w:val="00BE6796"/>
    <w:rsid w:val="00BE691A"/>
    <w:rsid w:val="00BE6E29"/>
    <w:rsid w:val="00BF0080"/>
    <w:rsid w:val="00BF019A"/>
    <w:rsid w:val="00BF1AE8"/>
    <w:rsid w:val="00BF24A3"/>
    <w:rsid w:val="00BF5A3F"/>
    <w:rsid w:val="00BF5D63"/>
    <w:rsid w:val="00BF69C0"/>
    <w:rsid w:val="00BF7569"/>
    <w:rsid w:val="00C00BE0"/>
    <w:rsid w:val="00C01E73"/>
    <w:rsid w:val="00C02DAE"/>
    <w:rsid w:val="00C032DE"/>
    <w:rsid w:val="00C04620"/>
    <w:rsid w:val="00C04897"/>
    <w:rsid w:val="00C04C99"/>
    <w:rsid w:val="00C04DEE"/>
    <w:rsid w:val="00C0636B"/>
    <w:rsid w:val="00C064A6"/>
    <w:rsid w:val="00C10F9D"/>
    <w:rsid w:val="00C11740"/>
    <w:rsid w:val="00C127BF"/>
    <w:rsid w:val="00C14964"/>
    <w:rsid w:val="00C14F58"/>
    <w:rsid w:val="00C1611D"/>
    <w:rsid w:val="00C17AC7"/>
    <w:rsid w:val="00C21C3B"/>
    <w:rsid w:val="00C21FFD"/>
    <w:rsid w:val="00C22814"/>
    <w:rsid w:val="00C229C5"/>
    <w:rsid w:val="00C24307"/>
    <w:rsid w:val="00C252B2"/>
    <w:rsid w:val="00C25B64"/>
    <w:rsid w:val="00C25BC1"/>
    <w:rsid w:val="00C26FDF"/>
    <w:rsid w:val="00C27D14"/>
    <w:rsid w:val="00C306F1"/>
    <w:rsid w:val="00C33EA9"/>
    <w:rsid w:val="00C34262"/>
    <w:rsid w:val="00C34C4D"/>
    <w:rsid w:val="00C353DA"/>
    <w:rsid w:val="00C3634E"/>
    <w:rsid w:val="00C40F0A"/>
    <w:rsid w:val="00C411DB"/>
    <w:rsid w:val="00C429BF"/>
    <w:rsid w:val="00C430DF"/>
    <w:rsid w:val="00C43FEF"/>
    <w:rsid w:val="00C44103"/>
    <w:rsid w:val="00C50515"/>
    <w:rsid w:val="00C515D3"/>
    <w:rsid w:val="00C518D6"/>
    <w:rsid w:val="00C51ACC"/>
    <w:rsid w:val="00C53632"/>
    <w:rsid w:val="00C551D6"/>
    <w:rsid w:val="00C61972"/>
    <w:rsid w:val="00C61B89"/>
    <w:rsid w:val="00C632BE"/>
    <w:rsid w:val="00C63456"/>
    <w:rsid w:val="00C637CF"/>
    <w:rsid w:val="00C674E3"/>
    <w:rsid w:val="00C67695"/>
    <w:rsid w:val="00C67B62"/>
    <w:rsid w:val="00C70332"/>
    <w:rsid w:val="00C70AD9"/>
    <w:rsid w:val="00C71C82"/>
    <w:rsid w:val="00C739C3"/>
    <w:rsid w:val="00C746A6"/>
    <w:rsid w:val="00C76B51"/>
    <w:rsid w:val="00C81C9F"/>
    <w:rsid w:val="00C81FC0"/>
    <w:rsid w:val="00C83370"/>
    <w:rsid w:val="00C83533"/>
    <w:rsid w:val="00C86324"/>
    <w:rsid w:val="00C868A7"/>
    <w:rsid w:val="00C90EA8"/>
    <w:rsid w:val="00C91608"/>
    <w:rsid w:val="00C9323E"/>
    <w:rsid w:val="00C93432"/>
    <w:rsid w:val="00C944E2"/>
    <w:rsid w:val="00C94FBE"/>
    <w:rsid w:val="00C95920"/>
    <w:rsid w:val="00C961ED"/>
    <w:rsid w:val="00C963B1"/>
    <w:rsid w:val="00CA2B4E"/>
    <w:rsid w:val="00CA3717"/>
    <w:rsid w:val="00CA39C7"/>
    <w:rsid w:val="00CA43EE"/>
    <w:rsid w:val="00CA5C3C"/>
    <w:rsid w:val="00CB0309"/>
    <w:rsid w:val="00CB0793"/>
    <w:rsid w:val="00CB1653"/>
    <w:rsid w:val="00CB1BFF"/>
    <w:rsid w:val="00CB55BD"/>
    <w:rsid w:val="00CB64C7"/>
    <w:rsid w:val="00CB6C0C"/>
    <w:rsid w:val="00CB6C7A"/>
    <w:rsid w:val="00CC0A30"/>
    <w:rsid w:val="00CC2301"/>
    <w:rsid w:val="00CC3128"/>
    <w:rsid w:val="00CC38B9"/>
    <w:rsid w:val="00CC4D62"/>
    <w:rsid w:val="00CC74CC"/>
    <w:rsid w:val="00CC7BAB"/>
    <w:rsid w:val="00CD1DBE"/>
    <w:rsid w:val="00CD22AD"/>
    <w:rsid w:val="00CD3AA8"/>
    <w:rsid w:val="00CD4109"/>
    <w:rsid w:val="00CD5296"/>
    <w:rsid w:val="00CD5602"/>
    <w:rsid w:val="00CD581E"/>
    <w:rsid w:val="00CD5B0E"/>
    <w:rsid w:val="00CD75FB"/>
    <w:rsid w:val="00CE3185"/>
    <w:rsid w:val="00CE379C"/>
    <w:rsid w:val="00CE4A33"/>
    <w:rsid w:val="00CE4DBB"/>
    <w:rsid w:val="00CE54E4"/>
    <w:rsid w:val="00CE5B3C"/>
    <w:rsid w:val="00CF006F"/>
    <w:rsid w:val="00CF00ED"/>
    <w:rsid w:val="00CF01D6"/>
    <w:rsid w:val="00CF30F2"/>
    <w:rsid w:val="00CF3388"/>
    <w:rsid w:val="00CF3793"/>
    <w:rsid w:val="00CF446E"/>
    <w:rsid w:val="00CF474C"/>
    <w:rsid w:val="00CF758A"/>
    <w:rsid w:val="00D0075A"/>
    <w:rsid w:val="00D00DC8"/>
    <w:rsid w:val="00D014F5"/>
    <w:rsid w:val="00D0200C"/>
    <w:rsid w:val="00D02E77"/>
    <w:rsid w:val="00D030F5"/>
    <w:rsid w:val="00D05A43"/>
    <w:rsid w:val="00D0652D"/>
    <w:rsid w:val="00D074AB"/>
    <w:rsid w:val="00D07F32"/>
    <w:rsid w:val="00D142B2"/>
    <w:rsid w:val="00D146E2"/>
    <w:rsid w:val="00D1607E"/>
    <w:rsid w:val="00D16700"/>
    <w:rsid w:val="00D20F4D"/>
    <w:rsid w:val="00D22575"/>
    <w:rsid w:val="00D25615"/>
    <w:rsid w:val="00D25F46"/>
    <w:rsid w:val="00D2770C"/>
    <w:rsid w:val="00D27D38"/>
    <w:rsid w:val="00D27FFD"/>
    <w:rsid w:val="00D30299"/>
    <w:rsid w:val="00D30B49"/>
    <w:rsid w:val="00D315A4"/>
    <w:rsid w:val="00D31A48"/>
    <w:rsid w:val="00D3320D"/>
    <w:rsid w:val="00D366C4"/>
    <w:rsid w:val="00D36B82"/>
    <w:rsid w:val="00D3791E"/>
    <w:rsid w:val="00D37B84"/>
    <w:rsid w:val="00D4040C"/>
    <w:rsid w:val="00D40A02"/>
    <w:rsid w:val="00D42982"/>
    <w:rsid w:val="00D43011"/>
    <w:rsid w:val="00D43A7C"/>
    <w:rsid w:val="00D44559"/>
    <w:rsid w:val="00D46C0F"/>
    <w:rsid w:val="00D477A8"/>
    <w:rsid w:val="00D5018E"/>
    <w:rsid w:val="00D50819"/>
    <w:rsid w:val="00D50C07"/>
    <w:rsid w:val="00D50ED7"/>
    <w:rsid w:val="00D521FF"/>
    <w:rsid w:val="00D52C1F"/>
    <w:rsid w:val="00D5521C"/>
    <w:rsid w:val="00D55E04"/>
    <w:rsid w:val="00D560D5"/>
    <w:rsid w:val="00D57BD8"/>
    <w:rsid w:val="00D60DA8"/>
    <w:rsid w:val="00D6264D"/>
    <w:rsid w:val="00D63818"/>
    <w:rsid w:val="00D644B6"/>
    <w:rsid w:val="00D6618B"/>
    <w:rsid w:val="00D667B2"/>
    <w:rsid w:val="00D71D8D"/>
    <w:rsid w:val="00D73204"/>
    <w:rsid w:val="00D73549"/>
    <w:rsid w:val="00D7423D"/>
    <w:rsid w:val="00D74AEE"/>
    <w:rsid w:val="00D76087"/>
    <w:rsid w:val="00D77332"/>
    <w:rsid w:val="00D77CAD"/>
    <w:rsid w:val="00D81F37"/>
    <w:rsid w:val="00D8290F"/>
    <w:rsid w:val="00D84FA8"/>
    <w:rsid w:val="00D86600"/>
    <w:rsid w:val="00D878A7"/>
    <w:rsid w:val="00D91921"/>
    <w:rsid w:val="00D92183"/>
    <w:rsid w:val="00D92A4A"/>
    <w:rsid w:val="00D9341B"/>
    <w:rsid w:val="00D95453"/>
    <w:rsid w:val="00D9569B"/>
    <w:rsid w:val="00D96937"/>
    <w:rsid w:val="00D97D04"/>
    <w:rsid w:val="00DA1E0A"/>
    <w:rsid w:val="00DA2E63"/>
    <w:rsid w:val="00DA3512"/>
    <w:rsid w:val="00DA65F8"/>
    <w:rsid w:val="00DA6F51"/>
    <w:rsid w:val="00DA7C80"/>
    <w:rsid w:val="00DB0D66"/>
    <w:rsid w:val="00DB1B45"/>
    <w:rsid w:val="00DB1DEF"/>
    <w:rsid w:val="00DB4867"/>
    <w:rsid w:val="00DB5CED"/>
    <w:rsid w:val="00DB5DB9"/>
    <w:rsid w:val="00DB62B5"/>
    <w:rsid w:val="00DC05D2"/>
    <w:rsid w:val="00DC1583"/>
    <w:rsid w:val="00DC197A"/>
    <w:rsid w:val="00DC3D84"/>
    <w:rsid w:val="00DC56EE"/>
    <w:rsid w:val="00DC694E"/>
    <w:rsid w:val="00DC748F"/>
    <w:rsid w:val="00DD1AC9"/>
    <w:rsid w:val="00DD1E52"/>
    <w:rsid w:val="00DD2262"/>
    <w:rsid w:val="00DD3A1D"/>
    <w:rsid w:val="00DD3C87"/>
    <w:rsid w:val="00DD770D"/>
    <w:rsid w:val="00DD796B"/>
    <w:rsid w:val="00DE075E"/>
    <w:rsid w:val="00DE27E4"/>
    <w:rsid w:val="00DE34E6"/>
    <w:rsid w:val="00DE3A16"/>
    <w:rsid w:val="00DE3D34"/>
    <w:rsid w:val="00DE4C1E"/>
    <w:rsid w:val="00DE66C4"/>
    <w:rsid w:val="00DE7D8B"/>
    <w:rsid w:val="00DF1DA1"/>
    <w:rsid w:val="00DF2AD6"/>
    <w:rsid w:val="00DF3838"/>
    <w:rsid w:val="00DF7290"/>
    <w:rsid w:val="00DF755F"/>
    <w:rsid w:val="00DF7C34"/>
    <w:rsid w:val="00E00EF7"/>
    <w:rsid w:val="00E01B4A"/>
    <w:rsid w:val="00E025E1"/>
    <w:rsid w:val="00E036EF"/>
    <w:rsid w:val="00E05344"/>
    <w:rsid w:val="00E06034"/>
    <w:rsid w:val="00E060DE"/>
    <w:rsid w:val="00E06332"/>
    <w:rsid w:val="00E065B0"/>
    <w:rsid w:val="00E072E7"/>
    <w:rsid w:val="00E11EAA"/>
    <w:rsid w:val="00E133AC"/>
    <w:rsid w:val="00E139F0"/>
    <w:rsid w:val="00E13E61"/>
    <w:rsid w:val="00E13EAB"/>
    <w:rsid w:val="00E14E9E"/>
    <w:rsid w:val="00E153B7"/>
    <w:rsid w:val="00E16B91"/>
    <w:rsid w:val="00E1744E"/>
    <w:rsid w:val="00E20062"/>
    <w:rsid w:val="00E2021A"/>
    <w:rsid w:val="00E20246"/>
    <w:rsid w:val="00E20470"/>
    <w:rsid w:val="00E21394"/>
    <w:rsid w:val="00E21A2A"/>
    <w:rsid w:val="00E23E45"/>
    <w:rsid w:val="00E26B9E"/>
    <w:rsid w:val="00E3054B"/>
    <w:rsid w:val="00E3056F"/>
    <w:rsid w:val="00E31126"/>
    <w:rsid w:val="00E31A93"/>
    <w:rsid w:val="00E33041"/>
    <w:rsid w:val="00E33B70"/>
    <w:rsid w:val="00E34325"/>
    <w:rsid w:val="00E344EB"/>
    <w:rsid w:val="00E35B4F"/>
    <w:rsid w:val="00E373BC"/>
    <w:rsid w:val="00E378EC"/>
    <w:rsid w:val="00E40923"/>
    <w:rsid w:val="00E40FB7"/>
    <w:rsid w:val="00E41594"/>
    <w:rsid w:val="00E42F3E"/>
    <w:rsid w:val="00E4609C"/>
    <w:rsid w:val="00E468C7"/>
    <w:rsid w:val="00E47726"/>
    <w:rsid w:val="00E51078"/>
    <w:rsid w:val="00E53099"/>
    <w:rsid w:val="00E54435"/>
    <w:rsid w:val="00E550C7"/>
    <w:rsid w:val="00E56715"/>
    <w:rsid w:val="00E57407"/>
    <w:rsid w:val="00E57B1E"/>
    <w:rsid w:val="00E57EFF"/>
    <w:rsid w:val="00E60073"/>
    <w:rsid w:val="00E619DA"/>
    <w:rsid w:val="00E61D59"/>
    <w:rsid w:val="00E62516"/>
    <w:rsid w:val="00E630DF"/>
    <w:rsid w:val="00E64C60"/>
    <w:rsid w:val="00E679FE"/>
    <w:rsid w:val="00E715A1"/>
    <w:rsid w:val="00E7279B"/>
    <w:rsid w:val="00E72843"/>
    <w:rsid w:val="00E742E1"/>
    <w:rsid w:val="00E75BDA"/>
    <w:rsid w:val="00E75BEF"/>
    <w:rsid w:val="00E76645"/>
    <w:rsid w:val="00E77F61"/>
    <w:rsid w:val="00E80180"/>
    <w:rsid w:val="00E804C1"/>
    <w:rsid w:val="00E805A4"/>
    <w:rsid w:val="00E824C4"/>
    <w:rsid w:val="00E8289B"/>
    <w:rsid w:val="00E8651D"/>
    <w:rsid w:val="00E871FB"/>
    <w:rsid w:val="00E87570"/>
    <w:rsid w:val="00E87CD5"/>
    <w:rsid w:val="00E902E7"/>
    <w:rsid w:val="00E9074C"/>
    <w:rsid w:val="00E910AE"/>
    <w:rsid w:val="00E9166B"/>
    <w:rsid w:val="00E916E2"/>
    <w:rsid w:val="00E91AFF"/>
    <w:rsid w:val="00E91CCB"/>
    <w:rsid w:val="00E91FC1"/>
    <w:rsid w:val="00E94AEE"/>
    <w:rsid w:val="00E95FF0"/>
    <w:rsid w:val="00E970E4"/>
    <w:rsid w:val="00EA0CC7"/>
    <w:rsid w:val="00EA2047"/>
    <w:rsid w:val="00EA2E3B"/>
    <w:rsid w:val="00EA38A0"/>
    <w:rsid w:val="00EA45CB"/>
    <w:rsid w:val="00EA51A5"/>
    <w:rsid w:val="00EA68A7"/>
    <w:rsid w:val="00EB0249"/>
    <w:rsid w:val="00EB2CA1"/>
    <w:rsid w:val="00EB2FA3"/>
    <w:rsid w:val="00EB2FE7"/>
    <w:rsid w:val="00EB3114"/>
    <w:rsid w:val="00EB4AB2"/>
    <w:rsid w:val="00EB7C0A"/>
    <w:rsid w:val="00EC0D4A"/>
    <w:rsid w:val="00EC49F1"/>
    <w:rsid w:val="00EC4E69"/>
    <w:rsid w:val="00EC5429"/>
    <w:rsid w:val="00EC6887"/>
    <w:rsid w:val="00EC69CE"/>
    <w:rsid w:val="00EC6F9C"/>
    <w:rsid w:val="00ED35E8"/>
    <w:rsid w:val="00ED45F3"/>
    <w:rsid w:val="00ED508B"/>
    <w:rsid w:val="00ED510A"/>
    <w:rsid w:val="00ED6C15"/>
    <w:rsid w:val="00EE17DB"/>
    <w:rsid w:val="00EE20E2"/>
    <w:rsid w:val="00EE403E"/>
    <w:rsid w:val="00EE40EE"/>
    <w:rsid w:val="00EE62EC"/>
    <w:rsid w:val="00EE661C"/>
    <w:rsid w:val="00EE6E75"/>
    <w:rsid w:val="00EF0719"/>
    <w:rsid w:val="00EF0767"/>
    <w:rsid w:val="00EF0C3D"/>
    <w:rsid w:val="00EF21CF"/>
    <w:rsid w:val="00EF3EA8"/>
    <w:rsid w:val="00EF7E62"/>
    <w:rsid w:val="00F01000"/>
    <w:rsid w:val="00F02FDA"/>
    <w:rsid w:val="00F03D0D"/>
    <w:rsid w:val="00F04FD8"/>
    <w:rsid w:val="00F05087"/>
    <w:rsid w:val="00F051E9"/>
    <w:rsid w:val="00F05213"/>
    <w:rsid w:val="00F05721"/>
    <w:rsid w:val="00F06A46"/>
    <w:rsid w:val="00F07C9E"/>
    <w:rsid w:val="00F10B7F"/>
    <w:rsid w:val="00F10FD5"/>
    <w:rsid w:val="00F11405"/>
    <w:rsid w:val="00F118C1"/>
    <w:rsid w:val="00F11D31"/>
    <w:rsid w:val="00F16470"/>
    <w:rsid w:val="00F17434"/>
    <w:rsid w:val="00F206E7"/>
    <w:rsid w:val="00F243CB"/>
    <w:rsid w:val="00F24CB3"/>
    <w:rsid w:val="00F261FD"/>
    <w:rsid w:val="00F264C8"/>
    <w:rsid w:val="00F26D4A"/>
    <w:rsid w:val="00F3188D"/>
    <w:rsid w:val="00F32DB9"/>
    <w:rsid w:val="00F32EB6"/>
    <w:rsid w:val="00F33575"/>
    <w:rsid w:val="00F33C80"/>
    <w:rsid w:val="00F34182"/>
    <w:rsid w:val="00F34348"/>
    <w:rsid w:val="00F35F55"/>
    <w:rsid w:val="00F440F6"/>
    <w:rsid w:val="00F4545E"/>
    <w:rsid w:val="00F50A8C"/>
    <w:rsid w:val="00F5212D"/>
    <w:rsid w:val="00F522C5"/>
    <w:rsid w:val="00F5245E"/>
    <w:rsid w:val="00F52BB6"/>
    <w:rsid w:val="00F53DF5"/>
    <w:rsid w:val="00F53E60"/>
    <w:rsid w:val="00F5664F"/>
    <w:rsid w:val="00F57AEC"/>
    <w:rsid w:val="00F615C9"/>
    <w:rsid w:val="00F61BD0"/>
    <w:rsid w:val="00F61D88"/>
    <w:rsid w:val="00F62134"/>
    <w:rsid w:val="00F62492"/>
    <w:rsid w:val="00F64450"/>
    <w:rsid w:val="00F64E78"/>
    <w:rsid w:val="00F65BE8"/>
    <w:rsid w:val="00F662DE"/>
    <w:rsid w:val="00F66C65"/>
    <w:rsid w:val="00F66FD0"/>
    <w:rsid w:val="00F673C4"/>
    <w:rsid w:val="00F6779E"/>
    <w:rsid w:val="00F702E0"/>
    <w:rsid w:val="00F7257A"/>
    <w:rsid w:val="00F7347B"/>
    <w:rsid w:val="00F73527"/>
    <w:rsid w:val="00F7379D"/>
    <w:rsid w:val="00F80644"/>
    <w:rsid w:val="00F81144"/>
    <w:rsid w:val="00F814F0"/>
    <w:rsid w:val="00F826E9"/>
    <w:rsid w:val="00F85F89"/>
    <w:rsid w:val="00F86DDD"/>
    <w:rsid w:val="00F870BA"/>
    <w:rsid w:val="00F8714F"/>
    <w:rsid w:val="00F91B1A"/>
    <w:rsid w:val="00F94B05"/>
    <w:rsid w:val="00F952E5"/>
    <w:rsid w:val="00F955BC"/>
    <w:rsid w:val="00F95648"/>
    <w:rsid w:val="00F978CC"/>
    <w:rsid w:val="00F97E9F"/>
    <w:rsid w:val="00FA096E"/>
    <w:rsid w:val="00FA2005"/>
    <w:rsid w:val="00FA24FA"/>
    <w:rsid w:val="00FA3B2D"/>
    <w:rsid w:val="00FA4F40"/>
    <w:rsid w:val="00FA56DB"/>
    <w:rsid w:val="00FA5F89"/>
    <w:rsid w:val="00FA69C5"/>
    <w:rsid w:val="00FA74E2"/>
    <w:rsid w:val="00FA75CD"/>
    <w:rsid w:val="00FB14D6"/>
    <w:rsid w:val="00FB164A"/>
    <w:rsid w:val="00FB270A"/>
    <w:rsid w:val="00FB30D9"/>
    <w:rsid w:val="00FB3602"/>
    <w:rsid w:val="00FB78CC"/>
    <w:rsid w:val="00FC0FCC"/>
    <w:rsid w:val="00FC16B4"/>
    <w:rsid w:val="00FC2231"/>
    <w:rsid w:val="00FC2E16"/>
    <w:rsid w:val="00FC3305"/>
    <w:rsid w:val="00FC6A74"/>
    <w:rsid w:val="00FC6C98"/>
    <w:rsid w:val="00FC70FD"/>
    <w:rsid w:val="00FD1F74"/>
    <w:rsid w:val="00FD2133"/>
    <w:rsid w:val="00FD2769"/>
    <w:rsid w:val="00FD3C7F"/>
    <w:rsid w:val="00FD539A"/>
    <w:rsid w:val="00FD7D2F"/>
    <w:rsid w:val="00FE16DD"/>
    <w:rsid w:val="00FE1C64"/>
    <w:rsid w:val="00FE2D89"/>
    <w:rsid w:val="00FE363D"/>
    <w:rsid w:val="00FE51C3"/>
    <w:rsid w:val="00FE56A6"/>
    <w:rsid w:val="00FE587D"/>
    <w:rsid w:val="00FE5CB5"/>
    <w:rsid w:val="00FE674C"/>
    <w:rsid w:val="00FE6F0A"/>
    <w:rsid w:val="00FE7BE2"/>
    <w:rsid w:val="00FE7E92"/>
    <w:rsid w:val="00FF07A5"/>
    <w:rsid w:val="00FF0D36"/>
    <w:rsid w:val="00FF0DCC"/>
    <w:rsid w:val="00FF5255"/>
    <w:rsid w:val="00FF5F0E"/>
    <w:rsid w:val="00FF5F31"/>
    <w:rsid w:val="00FF7273"/>
    <w:rsid w:val="040F1960"/>
    <w:rsid w:val="05EB3FBA"/>
    <w:rsid w:val="0779562B"/>
    <w:rsid w:val="096239C5"/>
    <w:rsid w:val="099E4665"/>
    <w:rsid w:val="0DB16DE1"/>
    <w:rsid w:val="17AE2235"/>
    <w:rsid w:val="1B147F57"/>
    <w:rsid w:val="21285662"/>
    <w:rsid w:val="219A6FF7"/>
    <w:rsid w:val="23C6054A"/>
    <w:rsid w:val="23CC0BA9"/>
    <w:rsid w:val="269D5E61"/>
    <w:rsid w:val="2ED27A26"/>
    <w:rsid w:val="2FBE2D57"/>
    <w:rsid w:val="340D480F"/>
    <w:rsid w:val="343C4176"/>
    <w:rsid w:val="361C5D7F"/>
    <w:rsid w:val="444A0FDF"/>
    <w:rsid w:val="456735CB"/>
    <w:rsid w:val="55DE53DE"/>
    <w:rsid w:val="57775494"/>
    <w:rsid w:val="61904F20"/>
    <w:rsid w:val="626B0849"/>
    <w:rsid w:val="62F15004"/>
    <w:rsid w:val="6A3312E0"/>
    <w:rsid w:val="77F173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character" w:default="1" w:styleId="9">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Normal Indent"/>
    <w:basedOn w:val="1"/>
    <w:qFormat/>
    <w:uiPriority w:val="0"/>
    <w:pPr>
      <w:adjustRightInd/>
      <w:spacing w:line="240" w:lineRule="auto"/>
      <w:ind w:firstLine="420"/>
      <w:textAlignment w:val="auto"/>
    </w:pPr>
    <w:rPr>
      <w:kern w:val="2"/>
    </w:r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adjustRightInd/>
      <w:snapToGrid w:val="0"/>
      <w:spacing w:line="240" w:lineRule="auto"/>
      <w:jc w:val="left"/>
      <w:textAlignment w:val="auto"/>
    </w:pPr>
    <w:rPr>
      <w:kern w:val="2"/>
      <w:sz w:val="18"/>
      <w:szCs w:val="18"/>
    </w:rPr>
  </w:style>
  <w:style w:type="paragraph" w:styleId="5">
    <w:name w:val="header"/>
    <w:basedOn w:val="1"/>
    <w:qFormat/>
    <w:uiPriority w:val="0"/>
    <w:pPr>
      <w:pBdr>
        <w:bottom w:val="single" w:color="auto" w:sz="6" w:space="1"/>
      </w:pBdr>
      <w:tabs>
        <w:tab w:val="center" w:pos="4153"/>
        <w:tab w:val="right" w:pos="8306"/>
      </w:tabs>
      <w:adjustRightInd/>
      <w:snapToGrid w:val="0"/>
      <w:spacing w:line="240" w:lineRule="auto"/>
      <w:jc w:val="center"/>
      <w:textAlignment w:val="auto"/>
    </w:pPr>
    <w:rPr>
      <w:kern w:val="2"/>
      <w:sz w:val="18"/>
      <w:szCs w:val="18"/>
    </w:rPr>
  </w:style>
  <w:style w:type="paragraph" w:styleId="6">
    <w:name w:val="Normal (Web)"/>
    <w:basedOn w:val="1"/>
    <w:qFormat/>
    <w:uiPriority w:val="0"/>
    <w:pPr>
      <w:widowControl/>
      <w:adjustRightInd/>
      <w:spacing w:before="100" w:beforeAutospacing="1" w:after="100" w:afterAutospacing="1" w:line="240" w:lineRule="auto"/>
      <w:jc w:val="left"/>
      <w:textAlignment w:val="auto"/>
    </w:pPr>
    <w:rPr>
      <w:rFonts w:ascii="宋体" w:hAnsi="宋体" w:cs="宋体"/>
      <w:sz w:val="24"/>
      <w:szCs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qFormat/>
    <w:uiPriority w:val="0"/>
  </w:style>
  <w:style w:type="character" w:styleId="11">
    <w:name w:val="Hyperlink"/>
    <w:qFormat/>
    <w:uiPriority w:val="0"/>
    <w:rPr>
      <w:color w:val="0000FF"/>
      <w:u w:val="single"/>
    </w:rPr>
  </w:style>
  <w:style w:type="paragraph" w:customStyle="1" w:styleId="12">
    <w:name w:val="标准"/>
    <w:basedOn w:val="1"/>
    <w:qFormat/>
    <w:uiPriority w:val="0"/>
    <w:pPr>
      <w:spacing w:before="120" w:after="120"/>
    </w:pPr>
    <w:rPr>
      <w:rFonts w:ascii="宋体"/>
    </w:rPr>
  </w:style>
  <w:style w:type="paragraph" w:customStyle="1" w:styleId="13">
    <w:name w:val="Char Char Char Char Char Char Char Char Char Char"/>
    <w:basedOn w:val="1"/>
    <w:qFormat/>
    <w:uiPriority w:val="0"/>
    <w:pPr>
      <w:adjustRightInd/>
      <w:spacing w:line="240" w:lineRule="auto"/>
      <w:textAlignment w:val="auto"/>
    </w:pPr>
    <w:rPr>
      <w:rFonts w:ascii="Tahoma" w:hAnsi="Tahoma"/>
      <w:kern w:val="2"/>
      <w:sz w:val="24"/>
    </w:rPr>
  </w:style>
  <w:style w:type="paragraph" w:customStyle="1" w:styleId="14">
    <w:name w:val="Table Paragraph"/>
    <w:basedOn w:val="1"/>
    <w:qFormat/>
    <w:uiPriority w:val="99"/>
  </w:style>
  <w:style w:type="paragraph" w:styleId="15">
    <w:name w:val="List Paragraph"/>
    <w:basedOn w:val="1"/>
    <w:qFormat/>
    <w:uiPriority w:val="99"/>
    <w:pPr>
      <w:ind w:firstLine="420" w:firstLineChars="200"/>
    </w:pPr>
  </w:style>
  <w:style w:type="table" w:customStyle="1" w:styleId="16">
    <w:name w:val="Table Normal"/>
    <w:semiHidden/>
    <w:unhideWhenUsed/>
    <w:qFormat/>
    <w:uiPriority w:val="2"/>
    <w:rPr>
      <w:rFonts w:ascii="等线" w:hAnsi="等线" w:eastAsia="等线" w:cs="等线"/>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hart" Target="charts/chart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515505980416797"/>
          <c:y val="0.105225284339458"/>
          <c:w val="0.704104146162243"/>
          <c:h val="0.802711067366579"/>
        </c:manualLayout>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delete val="1"/>
          </c:dLbls>
          <c:cat>
            <c:strRef>
              <c:f>Sheet1!$I$2:$K$2</c:f>
              <c:strCache>
                <c:ptCount val="3"/>
                <c:pt idx="0">
                  <c:v>&lt;35</c:v>
                </c:pt>
                <c:pt idx="1">
                  <c:v>40-50</c:v>
                </c:pt>
                <c:pt idx="2">
                  <c:v>50-60</c:v>
                </c:pt>
              </c:strCache>
            </c:strRef>
          </c:cat>
          <c:val>
            <c:numRef>
              <c:f>Sheet1!$I$3:$K$3</c:f>
              <c:numCache>
                <c:formatCode>General</c:formatCode>
                <c:ptCount val="3"/>
                <c:pt idx="0">
                  <c:v>8</c:v>
                </c:pt>
                <c:pt idx="1">
                  <c:v>10</c:v>
                </c:pt>
                <c:pt idx="2">
                  <c:v>3</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0.775006762862389"/>
          <c:y val="0.232059638378536"/>
          <c:w val="0.190158260572608"/>
          <c:h val="0.471644065325168"/>
        </c:manualLayout>
      </c:layout>
      <c:overlay val="0"/>
      <c:spPr>
        <a:noFill/>
        <a:ln>
          <a:noFill/>
        </a:ln>
        <a:effectLst/>
      </c:spPr>
      <c:txPr>
        <a:bodyPr rot="0" spcFirstLastPara="1" vertOverflow="ellipsis" vert="horz" wrap="square" anchor="ctr" anchorCtr="1"/>
        <a:lstStyle/>
        <a:p>
          <a:pPr>
            <a:defRPr lang="zh-CN" sz="1200" b="0" i="0" u="none" strike="noStrike" kern="1200" baseline="0">
              <a:solidFill>
                <a:schemeClr val="tx1"/>
              </a:solidFill>
              <a:latin typeface="Times New Roman" panose="02020603050405020304" charset="0"/>
              <a:ea typeface="+mn-ea"/>
              <a:cs typeface="Times New Roman" panose="02020603050405020304" charset="0"/>
            </a:defRPr>
          </a:pPr>
        </a:p>
      </c:txPr>
    </c:legend>
    <c:plotVisOnly val="1"/>
    <c:dispBlanksAs val="gap"/>
    <c:showDLblsOverMax val="0"/>
    <c:extLst>
      <c:ext uri="{0b15fc19-7d7d-44ad-8c2d-2c3a37ce22c3}">
        <chartProps xmlns="https://web.wps.cn/et/2018/main" chartId="{d907adee-8eb2-4cca-a512-01c1ba821d53}"/>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20</Pages>
  <Words>2826</Words>
  <Characters>2952</Characters>
  <Lines>79</Lines>
  <Paragraphs>22</Paragraphs>
  <TotalTime>5</TotalTime>
  <ScaleCrop>false</ScaleCrop>
  <LinksUpToDate>false</LinksUpToDate>
  <CharactersWithSpaces>2956</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2021-03-08T03:35:00Z</dcterms:created>
  <dc:creator>User</dc:creator>
  <cp:lastModifiedBy>陈红</cp:lastModifiedBy>
  <cp:lastPrinted>2014-07-04T00:31:00Z</cp:lastPrinted>
  <dcterms:modified xsi:type="dcterms:W3CDTF">2025-05-23T03:55:31Z</dcterms:modified>
  <dc:title>国家重点学科申请报告提纲</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eyJoZGlkIjoiMGNjY2IxOTdhYjliZDcxNTQzYTNmMGY1MzRiNmEyMTYiLCJ1c2VySWQiOiIzMTExNzA2MzcifQ==</vt:lpwstr>
  </property>
  <property fmtid="{D5CDD505-2E9C-101B-9397-08002B2CF9AE}" pid="4" name="ICV">
    <vt:lpwstr>99543EAB31154F1D9F31A3E9A43E0814_12</vt:lpwstr>
  </property>
</Properties>
</file>